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f336ece375744a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16109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LJUDEVIT GAJ MIHOVLJAN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1.257.740,57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1.380.733,89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1.248.874,04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1.454.036,95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73.303,06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6.639,31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27.555,65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100.858,71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ostvareni prihodi poslovanja su u odnosu na isto razdoblje prethodne godine povećani za 122.914,41 euro. Povećanje prihoda poslovanja ostvareno je gotovo iz svih izvora osim iz izvora za posebne namjene i izvora od prodaje nefinancijske imovine. Prihodi za posebne namjene su smanjeni jer se izvanučionička nastava za učenike odvija preko agencija, a od prodaje NF imovine jer je završen otkup stanova na kojima je postojalo stanarsko pravo.</w:t>
      </w:r>
    </w:p>
    <w:p>
      <w:r>
        <w:t xml:space="preserve">Rashodi poslovanja su u odnosu na prošlu godinu povećani za 226.000,34 eura. U ovom razdoblju je vidljivo povećanje svih rashoda poslovanja što zbog rasta cijena ili povećanja aktivnosi oko provođenja istih, ali najviše povećanje se bilježi u porastu rashoda za zaposlene.</w:t>
      </w:r>
    </w:p>
    <w:p>
      <w:r>
        <w:t xml:space="preserve">Primjenom novog Pravilnika kojim  su ukinuti kontinuirani rashodi imamo za 12 mjeseci 13 troškova. Prema naprijed navedenim promjenama oko knjiženja plaće i rashoda koji su klasificirani kao kontinuirani ostvaren je i ovaj manjak prihoda i primitaka.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1.257.740,57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1.380.733,89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-prihodi poslovanja povećani seu za 122.993,32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1.162.449,53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1.263.072,67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pPr>
        <w:pStyle w:val="ListParagraph"/>
        <w:numPr>
          <w:ilvl w:val="0"/>
          <w:numId w:val="2"/>
        </w:numPr>
      </w:pPr>
      <w:r>
        <w:t xml:space="preserve">ukupni prihodi iz državnog i općinskih proračuna povećani su za 100.623,14 eura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w:t>
            </w:r>
          </w:p>
        </w:tc>
      </w:tr>
    </w:tbl>
    <w:p>
      <w:pPr>
        <w:spacing w:before="0" w:after="0"/>
      </w:pPr>
    </w:p>
    <w:p>
      <w:r>
        <w:t xml:space="preserve">-prihodi su smanjeni zbog realizacije izvanučioničke nastave preko agenccija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bl>
    <w:p>
      <w:pPr>
        <w:spacing w:before="0" w:after="0"/>
      </w:pPr>
    </w:p>
    <w:p>
      <w:r>
        <w:t xml:space="preserve">-povećanje se odnosi na aktivnosti učeničke zadruge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r>
        <w:t xml:space="preserve">-povećanje se odnosi na porast aktivnosti iznajmljivanja prostora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2479,3</w:t>
            </w:r>
          </w:p>
        </w:tc>
      </w:tr>
    </w:tbl>
    <w:p>
      <w:pPr>
        <w:spacing w:before="0" w:after="0"/>
      </w:pPr>
    </w:p>
    <w:p>
      <w:r>
        <w:t xml:space="preserve">-povećanje se odnosi na donacije informatičke opreme PŠ Novi Golubovec - Privredna banka Zagreb, KING ICT doo Buzin, sudjelovanje  na natječaju "Za naše male genijalce" -donacija računalne opreme Hrvatske elektroprivrede dd., sudjelovanje u kampanji Mali veliki talenti Konzuma, te sudjelovanje učenika u programu Ambasadori čistog podzemlja-donacija Lidl Hrvatska društvenih igara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83.352,32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-prihodi nadležnog proračuna povećani su za 17.091,94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nadležnog proračuna za nabavu nefinanancijske imovine se odnose na dodatna ulaganja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1.248.874,04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1.454.036,95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-ukupni rashodi poslovanja su u odnosu na isto razdoblje prethodne godine povećani za 205.162,91 euro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1.075.586,86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1.272.722,51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-povećanje rashoda za zaposlene u odnosu na isto razdoblje prošle godine se odnosi na povećanje osnovice i koef. za isplatu plaća, te zbog primjene novog Pravilnika o proračunskom  računovodstvu kojim se ukidaju kontinuirani rashodi. Za 12 mjeseci imamo 13 rashoda za plaće zaposlenih</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162.763,14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175.559,09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-ukupni materijalni rashodi povećani su za 12.795,95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w:t>
            </w:r>
          </w:p>
        </w:tc>
      </w:tr>
    </w:tbl>
    <w:p>
      <w:pPr>
        <w:spacing w:before="0" w:after="0"/>
      </w:pPr>
    </w:p>
    <w:p>
      <w:r>
        <w:t xml:space="preserve">-povećanje se odnosi na povećanje troškova za stručno usavršavanje radnika, te realizaciju izvanučioničke nastave V-VIII razred MŠ I PŠ u inozemstvu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45.708,31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38.927,95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w:t>
            </w:r>
          </w:p>
        </w:tc>
      </w:tr>
    </w:tbl>
    <w:p>
      <w:pPr>
        <w:spacing w:before="0" w:after="0"/>
      </w:pPr>
    </w:p>
    <w:p>
      <w:r>
        <w:t xml:space="preserve">-smanjenje broja učenika  i odustanak dobavljača za sklapanje ugovora o provođenju školske shema voća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35.771,64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-povećanje troškova energije u odnosu na isto razdoblje prethodne godine zbog duže grijaće sezone, te ukidanja kontinuiranih rashoda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w:t>
            </w:r>
          </w:p>
        </w:tc>
      </w:tr>
    </w:tbl>
    <w:p>
      <w:pPr>
        <w:spacing w:before="0" w:after="0"/>
      </w:pPr>
    </w:p>
    <w:p>
      <w:r>
        <w:t xml:space="preserve">-povećanje u odnusu na isto razdoblje prethodne godine zbog povećanja cijena i povećanog opsega popravaka - domari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657,2</w:t>
            </w:r>
          </w:p>
        </w:tc>
      </w:tr>
    </w:tbl>
    <w:p>
      <w:pPr>
        <w:spacing w:before="0" w:after="0"/>
      </w:pPr>
    </w:p>
    <w:p>
      <w:r>
        <w:t xml:space="preserve">-povećanje zbog sudjelovanja na programima Mali veliki talenti i Ambasadori čistog podzemlja-donacije, kupnja iz vlastitih sredstava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w:t>
            </w:r>
          </w:p>
        </w:tc>
      </w:tr>
    </w:tbl>
    <w:p>
      <w:pPr>
        <w:spacing w:before="0" w:after="0"/>
      </w:pPr>
    </w:p>
    <w:p>
      <w:r>
        <w:t xml:space="preserve">-povećanje u odnosu na isto razdoblje prethodne godine zbog povećanja aktivnosti oko zaštite na radu, zdravstvene ispravnosti vode, popravaka  i održavanja iz pomoći Općine Novi Golubovec-postavljanje parketa u PŠ Novi Golubovec</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w:t>
            </w:r>
          </w:p>
        </w:tc>
      </w:tr>
    </w:tbl>
    <w:p>
      <w:pPr>
        <w:spacing w:before="0" w:after="0"/>
      </w:pPr>
    </w:p>
    <w:p>
      <w:r>
        <w:t xml:space="preserve">-povećanje se odnosi na sistematske preglede  11 djelatnika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347,7</w:t>
            </w:r>
          </w:p>
        </w:tc>
      </w:tr>
    </w:tbl>
    <w:p>
      <w:pPr>
        <w:spacing w:before="0" w:after="0"/>
      </w:pPr>
    </w:p>
    <w:p>
      <w:r>
        <w:t xml:space="preserve">-u ovom razdoblju se na kontu računalnih usluga vode troškovi za E-tehničara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324,7</w:t>
            </w:r>
          </w:p>
        </w:tc>
      </w:tr>
    </w:tbl>
    <w:p>
      <w:pPr>
        <w:spacing w:before="0" w:after="0"/>
      </w:pPr>
    </w:p>
    <w:p>
      <w:r>
        <w:t xml:space="preserve">-povećanje u odnosu na prošlu godinu-zbog pretplate koju smo imali u 2024. godini, nije se plaćala naknada zbog nezapošljavanja invalida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w:t>
            </w:r>
          </w:p>
        </w:tc>
      </w:tr>
    </w:tbl>
    <w:p>
      <w:pPr>
        <w:spacing w:before="0" w:after="0"/>
      </w:pPr>
    </w:p>
    <w:p>
      <w:r>
        <w:t xml:space="preserve">-smanjenje u odnosu na prošlu godinu zbog smanjene nabave radnih udžbenika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w:t>
            </w:r>
          </w:p>
        </w:tc>
      </w:tr>
    </w:tbl>
    <w:p>
      <w:pPr>
        <w:spacing w:before="0" w:after="0"/>
      </w:pPr>
    </w:p>
    <w:p>
      <w:r>
        <w:t xml:space="preserve">-manjak prihoda i primitaka preneseni-izvršena je korekcija prema Odluci o rasporedu razultata koja se nije mogla utvrditi provođenjem obvezne korekcije na dan 31.12.2024. godine za 329,00 eura. Tom Odlukom preneseni višak prihoda poslovanja se korigira za 329,00 eura te postaje manjak, a povećava se višak prihoda od NF imovine. Isto je utvrđena greška UF-509 iz 2024. godine kojom je evidentirano 10,00 eura više. Greška je ispravljenasmanjenjem obaveza i smanjenjem manjka prihoda iz izvora 5.2.1 Ministarstvo.</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knjiženi su ove godine prema novom Pravilniku o proračunsko računovodstvu i računskom planu-prihod-potraživanje-obračunati prihodi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409,8</w:t>
            </w:r>
          </w:p>
        </w:tc>
      </w:tr>
    </w:tbl>
    <w:p>
      <w:pPr>
        <w:spacing w:before="0" w:after="0"/>
      </w:pPr>
    </w:p>
    <w:p>
      <w:r>
        <w:t xml:space="preserve">-povećanje se odnosi na nabavu nefinancijske imovine iz sredstava Općina Mihovljan i Novi Golubovec te sredstava Osnivača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w:t>
            </w:r>
          </w:p>
        </w:tc>
      </w:tr>
    </w:tbl>
    <w:p>
      <w:pPr>
        <w:spacing w:before="0" w:after="0"/>
      </w:pPr>
    </w:p>
    <w:p>
      <w:r>
        <w:t xml:space="preserve">-povećanje se odnosi na povećane troškove udžbenika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povećanje se odnosi na dodatna ulaganja u kotlovnici i električnom razvodnom ormaru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100.858,71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naprijed navedenim promjenama oko knjiženja plaće i rashoda koji su klassificirani kao kontinuirani, a odnose se na navedeno razdoblje ostvaren je ovaj manjak prihoda i primitaka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-ispravkom UF-509 iz 2024. godine izvršen je ispravak ukupnog prenesenog viška prihoda za 10,00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01.09.2025. godine škola posluje u sustavu pune riznice preko jedinstvenog računa Krapinsko-zagorske županije. Žiro račun škole je zatvoren 28.08.2025.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1.738.487,74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1.710.703,40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w:t>
            </w:r>
          </w:p>
        </w:tc>
      </w:tr>
    </w:tbl>
    <w:p>
      <w:pPr>
        <w:spacing w:before="0" w:after="0"/>
      </w:pPr>
    </w:p>
    <w:p>
      <w:r>
        <w:t xml:space="preserve">-vrijednost imovine se smanjila za ispravak vrijednosti za 2025. godinu, a povećala za novonabavljenu nefinancijsku imovinu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punu riznicu škola više nema vlastiti žiro račun</w:t>
      </w:r>
    </w:p>
    <w:p>
      <w:r>
        <w:t xml:space="preserve">-škola od 01.09.2025. godine posluje su sustavu pune riznice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w:t>
            </w:r>
          </w:p>
        </w:tc>
      </w:tr>
    </w:tbl>
    <w:p>
      <w:pPr>
        <w:spacing w:before="0" w:after="0"/>
      </w:pPr>
    </w:p>
    <w:p>
      <w:r>
        <w:t xml:space="preserve">-potraživanja se odnose na više plaćene doprinose iz i na plaću po korektivnim obračunima, te na bolovanje preko 42d</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po korektivnim obračunima i povratu poreza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-potraživanja za bolovanja preko 42d na teret HZZO</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104.672,71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knjiženi su ove godine prema novom Pravilniku o proračunskom računovodstvu i računskom planu</w:t>
      </w:r>
    </w:p>
    <w:p>
      <w:r>
        <w:t xml:space="preserve">-prema novom pravilniku treba se osigurati usporedno knjiženje da svaki prihod koji se priznaje (osim donacija) mora imati prethodno evidentirano potraživanje i obračunate prihode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98.544,66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od pomoći iz državnog proračuna i proračuna Općina Mihovljan i Novi Golubovec</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-dospjelo potraživanje za najam dvorane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-ulaskom u punu riznicu od 01.09.2025. godine i zatvaranjem žiro računa sredstva su uplaćena na jedinstveni račun Krapinsko-zagorske županije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-ukinućem kontinuiranih rashoda nema stanja na dan 31.12. 2025. godine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100.390,66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107.317,55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-u odnosu na stanje obveza na početku godine povećane su za 6.926,89 eura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-100.153,05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-14396,8</w:t>
            </w:r>
          </w:p>
        </w:tc>
      </w:tr>
    </w:tbl>
    <w:p>
      <w:pPr>
        <w:spacing w:before="0" w:after="0"/>
      </w:pPr>
    </w:p>
    <w:p>
      <w:r>
        <w:t xml:space="preserve">-nakon prebijanja viškova i manjkova po istovrsnim kategorijama provedena je obvezna korekcija rezultata za iznose kapitalnih prijenosa za nabavu nefinancijske imovine u iznosu od 26.858,10 eura i to:</w:t>
      </w:r>
    </w:p>
    <w:p>
      <w:r>
        <w:t xml:space="preserve">11.430,95 eura iz državnog i općinskih proračuna</w:t>
      </w:r>
    </w:p>
    <w:p>
      <w:r>
        <w:t xml:space="preserve">7.049,65  eura kapitalnih donacija</w:t>
      </w:r>
    </w:p>
    <w:p>
      <w:r>
        <w:t xml:space="preserve">8.377,50 eura iz proračuna KZŽ</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knjiženi su ove godine prema novom Pravilniki o proračunskom računovodstvu i računskom planu. Prema novom pravilniki treba se osigurati usporedno knjiženje da svaki prihod koji se priznaje (osim donacija) mora imati prethodno evidentiranje potraživanje i obračunate prihode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104.616,71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-ovaj podatak se odnosi na potraživanja iz državnog i općinskog proračuna za plaće za 12/25, te sredstva uplaćena na račun osnivača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-bolovanje preko 42 dana na teret HZZO</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248,6</w:t>
            </w:r>
          </w:p>
        </w:tc>
      </w:tr>
    </w:tbl>
    <w:p>
      <w:pPr>
        <w:spacing w:before="0" w:after="0"/>
      </w:pPr>
    </w:p>
    <w:p>
      <w:r>
        <w:t xml:space="preserve">-ove dospjele obveze se odnose na dio materijalnih troškova za  11/25 i dio za 12/25.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99.114,56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104.107,22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-nedospjele obveze se odnose na materijalne troškove za 12/25 i plaće za 12/25.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261,7</w:t>
            </w:r>
          </w:p>
        </w:tc>
      </w:tr>
    </w:tbl>
    <w:p>
      <w:pPr>
        <w:spacing w:before="0" w:after="0"/>
      </w:pPr>
    </w:p>
    <w:p>
      <w:r>
        <w:t xml:space="preserve">-ove obveze se odnose na povrat u proračun po korektivnim obračunima za plaću i konačni godišnji obračun poreza na dohodak</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w:t>
            </w:r>
          </w:p>
        </w:tc>
      </w:tr>
    </w:tbl>
    <w:p>
      <w:pPr>
        <w:spacing w:before="0" w:after="0"/>
      </w:pPr>
    </w:p>
    <w:p>
      <w:r>
        <w:t xml:space="preserve">-obveze za bolovanje preko 42d na teret hzzo</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-ispravkom UF-509 iz 2024. godine izvršen je ispravak ukupnog prenesenog viška prihoda za 10,00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1.209.890,84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1.443.613,58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-u ovom obrascu škola je iskazala rashode vezane uz obrazovanje na funkciji 0912</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45.708,31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-ovdje su iskazani troškovi prehrane učenika - 098- Usluge obrazovanja koje nisu drugdje svrstane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-ovo povećanje se odnosi na donaciju 6 knjiga za školsku knjižnicu-osnivač</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dan 31.12.2025. godine se odnosi na dio neplaćenih materijalnih troškova za studeni i prosinac</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104.701,95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se odnosi na obveze za zaposlene-plaća za 12/25, te materijalno financijski rashodi za prosinac 2025.</w:t>
      </w:r>
    </w:p>
    <w:p/>
    <w:p>
      <w:pPr>
        <w:jc w:val="center"/>
        <w:pStyle w:val="Normal"/>
        <w:spacing w:line="240" w:lineRule="auto"/>
        <w:keepNext/>
      </w:pPr>
      <w:r>
        <w:rPr>
          <w:sz w:val="28"/>
          <w:rFonts w:ascii="Times New Roman" w:hAnsi="Times New Roman"/>
        </w:rPr>
        <w:t xml:space="preserve">Bilješka 56.</w:t>
      </w:r>
    </w:p>
    <w:p>
      <w:pPr>
        <w:jc w:val="both"/>
        <w:pStyle w:val="Normal"/>
        <w:spacing w:line="240" w:lineRule="auto"/>
      </w:pPr>
      <w:r>
        <w:rPr>
          <w:b/>
          <w:sz w:val="24"/>
          <w:rFonts w:ascii="Times New Roman" w:hAnsi="Times New Roman"/>
        </w:rPr>
        <w:t xml:space="preserve">EU izvještaj</w:t>
      </w:r>
    </w:p>
    <w:p>
      <w:r>
        <w:t xml:space="preserve">-u ovaj EU izvještaj evidentirana su sredstva koja smo primili  za provođenje Projekta Baltazar iz izvora financiranja 5.6.111 (1.1. i 5.2.)-  po prirodnoj vrsti troška-nacionalno sufinanciranje</w:t>
      </w:r>
    </w:p>
    <w:p>
      <w:r>
        <w:t xml:space="preserve">-sredstva iz izvora 5.7. za provođenje istog projekta po prirodnoj vrsti troška pod izvor financiranja za praćenje EU sredstava-Programi unije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6ef50f9018a42b8" /><Relationship Type="http://schemas.openxmlformats.org/officeDocument/2006/relationships/numbering" Target="/word/numbering.xml" Id="R69be3099f3d44c50" /></Relationships>
</file>