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7F" w:rsidRDefault="003C107F">
      <w:bookmarkStart w:id="0" w:name="_GoBack"/>
      <w:bookmarkEnd w:id="0"/>
    </w:p>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171"/>
        <w:gridCol w:w="6829"/>
      </w:tblGrid>
      <w:tr w:rsidR="00DD4A1D" w:rsidTr="003C107F">
        <w:tblPrEx>
          <w:tblCellMar>
            <w:top w:w="0" w:type="dxa"/>
            <w:bottom w:w="0" w:type="dxa"/>
          </w:tblCellMar>
        </w:tblPrEx>
        <w:trPr>
          <w:tblCellSpacing w:w="60" w:type="dxa"/>
        </w:trPr>
        <w:tc>
          <w:tcPr>
            <w:tcW w:w="1152" w:type="pct"/>
            <w:shd w:val="clear" w:color="auto" w:fill="E7F0F9"/>
          </w:tcPr>
          <w:p w:rsidR="00DD4A1D" w:rsidRDefault="003C107F">
            <w:pPr>
              <w:spacing w:after="0" w:line="240" w:lineRule="auto"/>
            </w:pPr>
            <w:r>
              <w:rPr>
                <w:b/>
              </w:rPr>
              <w:t>RKP broj</w:t>
            </w:r>
          </w:p>
        </w:tc>
        <w:tc>
          <w:tcPr>
            <w:tcW w:w="0" w:type="auto"/>
            <w:shd w:val="clear" w:color="auto" w:fill="E7F0F9"/>
          </w:tcPr>
          <w:p w:rsidR="00DD4A1D" w:rsidRDefault="003C107F">
            <w:pPr>
              <w:spacing w:after="0" w:line="240" w:lineRule="auto"/>
            </w:pPr>
            <w:r>
              <w:t>16109</w:t>
            </w:r>
          </w:p>
        </w:tc>
      </w:tr>
      <w:tr w:rsidR="00DD4A1D" w:rsidTr="003C107F">
        <w:tblPrEx>
          <w:tblCellMar>
            <w:top w:w="0" w:type="dxa"/>
            <w:bottom w:w="0" w:type="dxa"/>
          </w:tblCellMar>
        </w:tblPrEx>
        <w:trPr>
          <w:tblCellSpacing w:w="60" w:type="dxa"/>
        </w:trPr>
        <w:tc>
          <w:tcPr>
            <w:tcW w:w="1152" w:type="pct"/>
            <w:shd w:val="clear" w:color="auto" w:fill="E7F0F9"/>
          </w:tcPr>
          <w:p w:rsidR="00DD4A1D" w:rsidRDefault="003C107F">
            <w:pPr>
              <w:spacing w:after="0" w:line="240" w:lineRule="auto"/>
            </w:pPr>
            <w:r>
              <w:rPr>
                <w:b/>
              </w:rPr>
              <w:t>Naziv obveznika</w:t>
            </w:r>
          </w:p>
        </w:tc>
        <w:tc>
          <w:tcPr>
            <w:tcW w:w="0" w:type="auto"/>
            <w:shd w:val="clear" w:color="auto" w:fill="E7F0F9"/>
          </w:tcPr>
          <w:p w:rsidR="00DD4A1D" w:rsidRDefault="003C107F">
            <w:pPr>
              <w:spacing w:after="0" w:line="240" w:lineRule="auto"/>
            </w:pPr>
            <w:r>
              <w:t>OSNOVNA ŠKOLA LJUDEVIT GAJ MIHOVLJAN</w:t>
            </w:r>
          </w:p>
        </w:tc>
      </w:tr>
      <w:tr w:rsidR="00DD4A1D" w:rsidTr="003C107F">
        <w:tblPrEx>
          <w:tblCellMar>
            <w:top w:w="0" w:type="dxa"/>
            <w:bottom w:w="0" w:type="dxa"/>
          </w:tblCellMar>
        </w:tblPrEx>
        <w:trPr>
          <w:tblCellSpacing w:w="60" w:type="dxa"/>
        </w:trPr>
        <w:tc>
          <w:tcPr>
            <w:tcW w:w="1152" w:type="pct"/>
            <w:shd w:val="clear" w:color="auto" w:fill="E7F0F9"/>
          </w:tcPr>
          <w:p w:rsidR="00DD4A1D" w:rsidRDefault="003C107F">
            <w:pPr>
              <w:spacing w:after="0" w:line="240" w:lineRule="auto"/>
            </w:pPr>
            <w:r>
              <w:rPr>
                <w:b/>
              </w:rPr>
              <w:t>Razina</w:t>
            </w:r>
          </w:p>
        </w:tc>
        <w:tc>
          <w:tcPr>
            <w:tcW w:w="0" w:type="auto"/>
            <w:shd w:val="clear" w:color="auto" w:fill="E7F0F9"/>
          </w:tcPr>
          <w:p w:rsidR="00DD4A1D" w:rsidRDefault="003C107F">
            <w:pPr>
              <w:spacing w:after="0" w:line="240" w:lineRule="auto"/>
            </w:pPr>
            <w:r>
              <w:t>31</w:t>
            </w:r>
          </w:p>
        </w:tc>
      </w:tr>
    </w:tbl>
    <w:p w:rsidR="00DD4A1D" w:rsidRDefault="003C107F">
      <w:r>
        <w:br/>
      </w:r>
    </w:p>
    <w:p w:rsidR="00DD4A1D" w:rsidRDefault="003C107F">
      <w:pPr>
        <w:spacing w:line="240" w:lineRule="auto"/>
        <w:jc w:val="center"/>
      </w:pPr>
      <w:r>
        <w:rPr>
          <w:b/>
          <w:sz w:val="28"/>
        </w:rPr>
        <w:t>BILJEŠKE UZ FINANCIJSKE IZVJEŠTAJE</w:t>
      </w:r>
    </w:p>
    <w:p w:rsidR="00DD4A1D" w:rsidRDefault="003C107F">
      <w:pPr>
        <w:spacing w:line="240" w:lineRule="auto"/>
        <w:jc w:val="center"/>
      </w:pPr>
      <w:r>
        <w:rPr>
          <w:b/>
          <w:sz w:val="28"/>
        </w:rPr>
        <w:t>ZA RAZDOBLJE</w:t>
      </w:r>
    </w:p>
    <w:p w:rsidR="00DD4A1D" w:rsidRDefault="003C107F">
      <w:pPr>
        <w:spacing w:line="240" w:lineRule="auto"/>
        <w:jc w:val="center"/>
      </w:pPr>
      <w:r>
        <w:rPr>
          <w:b/>
          <w:sz w:val="28"/>
        </w:rPr>
        <w:t>I - VI 2025.</w:t>
      </w:r>
    </w:p>
    <w:p w:rsidR="00DD4A1D" w:rsidRDefault="00DD4A1D"/>
    <w:p w:rsidR="00DD4A1D" w:rsidRDefault="003C107F">
      <w:pPr>
        <w:keepNext/>
        <w:spacing w:line="240" w:lineRule="auto"/>
        <w:jc w:val="center"/>
      </w:pPr>
      <w:r>
        <w:rPr>
          <w:b/>
          <w:sz w:val="28"/>
        </w:rPr>
        <w:t>Izvještaj o prihodima i rashodima, primicima i izdacima</w:t>
      </w:r>
    </w:p>
    <w:p w:rsidR="00DD4A1D" w:rsidRDefault="003C107F">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w:t>
            </w:r>
          </w:p>
        </w:tc>
        <w:tc>
          <w:tcPr>
            <w:tcW w:w="3180" w:type="dxa"/>
            <w:tcMar>
              <w:top w:w="0" w:type="dxa"/>
              <w:bottom w:w="0" w:type="dxa"/>
            </w:tcMar>
            <w:vAlign w:val="center"/>
          </w:tcPr>
          <w:p w:rsidR="00DD4A1D" w:rsidRDefault="003C107F">
            <w:pPr>
              <w:keepNext/>
              <w:keepLines/>
              <w:spacing w:after="0" w:line="240" w:lineRule="auto"/>
            </w:pPr>
            <w:r>
              <w:rPr>
                <w:sz w:val="18"/>
              </w:rPr>
              <w:t>PRIHODI POSLOVANJA (šifre 61+62+63+64+65+66+67+68)</w:t>
            </w:r>
          </w:p>
        </w:tc>
        <w:tc>
          <w:tcPr>
            <w:tcW w:w="700" w:type="dxa"/>
            <w:tcMar>
              <w:top w:w="0" w:type="dxa"/>
              <w:bottom w:w="0" w:type="dxa"/>
            </w:tcMar>
            <w:vAlign w:val="center"/>
          </w:tcPr>
          <w:p w:rsidR="00DD4A1D" w:rsidRDefault="003C107F">
            <w:pPr>
              <w:keepNext/>
              <w:keepLines/>
              <w:spacing w:after="0" w:line="240" w:lineRule="auto"/>
            </w:pPr>
            <w:r>
              <w:rPr>
                <w:sz w:val="18"/>
              </w:rPr>
              <w:t>6</w:t>
            </w:r>
          </w:p>
        </w:tc>
        <w:tc>
          <w:tcPr>
            <w:tcW w:w="1860" w:type="dxa"/>
            <w:tcMar>
              <w:top w:w="0" w:type="dxa"/>
              <w:bottom w:w="0" w:type="dxa"/>
            </w:tcMar>
            <w:vAlign w:val="center"/>
          </w:tcPr>
          <w:p w:rsidR="00DD4A1D" w:rsidRDefault="003C107F">
            <w:pPr>
              <w:keepNext/>
              <w:keepLines/>
              <w:spacing w:after="0" w:line="240" w:lineRule="auto"/>
              <w:jc w:val="right"/>
            </w:pPr>
            <w:r>
              <w:rPr>
                <w:sz w:val="18"/>
              </w:rPr>
              <w:t>612.671,28</w:t>
            </w:r>
          </w:p>
        </w:tc>
        <w:tc>
          <w:tcPr>
            <w:tcW w:w="1860" w:type="dxa"/>
            <w:tcMar>
              <w:top w:w="0" w:type="dxa"/>
              <w:bottom w:w="0" w:type="dxa"/>
            </w:tcMar>
            <w:vAlign w:val="center"/>
          </w:tcPr>
          <w:p w:rsidR="00DD4A1D" w:rsidRDefault="003C107F">
            <w:pPr>
              <w:keepNext/>
              <w:keepLines/>
              <w:spacing w:after="0" w:line="240" w:lineRule="auto"/>
              <w:jc w:val="right"/>
            </w:pPr>
            <w:r>
              <w:rPr>
                <w:sz w:val="18"/>
              </w:rPr>
              <w:t>685.074,59</w:t>
            </w:r>
          </w:p>
        </w:tc>
        <w:tc>
          <w:tcPr>
            <w:tcW w:w="700" w:type="dxa"/>
            <w:tcMar>
              <w:top w:w="0" w:type="dxa"/>
              <w:bottom w:w="0" w:type="dxa"/>
            </w:tcMar>
            <w:vAlign w:val="center"/>
          </w:tcPr>
          <w:p w:rsidR="00DD4A1D" w:rsidRDefault="003C107F">
            <w:pPr>
              <w:keepNext/>
              <w:keepLines/>
              <w:spacing w:after="0" w:line="240" w:lineRule="auto"/>
              <w:jc w:val="right"/>
            </w:pPr>
            <w:r>
              <w:rPr>
                <w:sz w:val="18"/>
              </w:rPr>
              <w:t>111,8</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w:t>
            </w:r>
          </w:p>
        </w:tc>
        <w:tc>
          <w:tcPr>
            <w:tcW w:w="3180" w:type="dxa"/>
            <w:tcMar>
              <w:top w:w="0" w:type="dxa"/>
              <w:bottom w:w="0" w:type="dxa"/>
            </w:tcMar>
            <w:vAlign w:val="center"/>
          </w:tcPr>
          <w:p w:rsidR="00DD4A1D" w:rsidRDefault="003C107F">
            <w:pPr>
              <w:keepNext/>
              <w:keepLines/>
              <w:spacing w:after="0" w:line="240" w:lineRule="auto"/>
            </w:pPr>
            <w:r>
              <w:rPr>
                <w:sz w:val="18"/>
              </w:rPr>
              <w:t>RASHODI POSLOVANJA (šifre 31+32+34+35+36+37+38)</w:t>
            </w:r>
          </w:p>
        </w:tc>
        <w:tc>
          <w:tcPr>
            <w:tcW w:w="700" w:type="dxa"/>
            <w:tcMar>
              <w:top w:w="0" w:type="dxa"/>
              <w:bottom w:w="0" w:type="dxa"/>
            </w:tcMar>
            <w:vAlign w:val="center"/>
          </w:tcPr>
          <w:p w:rsidR="00DD4A1D" w:rsidRDefault="003C107F">
            <w:pPr>
              <w:keepNext/>
              <w:keepLines/>
              <w:spacing w:after="0" w:line="240" w:lineRule="auto"/>
            </w:pPr>
            <w:r>
              <w:rPr>
                <w:sz w:val="18"/>
              </w:rPr>
              <w:t>3</w:t>
            </w:r>
          </w:p>
        </w:tc>
        <w:tc>
          <w:tcPr>
            <w:tcW w:w="1860" w:type="dxa"/>
            <w:tcMar>
              <w:top w:w="0" w:type="dxa"/>
              <w:bottom w:w="0" w:type="dxa"/>
            </w:tcMar>
            <w:vAlign w:val="center"/>
          </w:tcPr>
          <w:p w:rsidR="00DD4A1D" w:rsidRDefault="003C107F">
            <w:pPr>
              <w:keepNext/>
              <w:keepLines/>
              <w:spacing w:after="0" w:line="240" w:lineRule="auto"/>
              <w:jc w:val="right"/>
            </w:pPr>
            <w:r>
              <w:rPr>
                <w:sz w:val="18"/>
              </w:rPr>
              <w:t>612.229,62</w:t>
            </w:r>
          </w:p>
        </w:tc>
        <w:tc>
          <w:tcPr>
            <w:tcW w:w="1860" w:type="dxa"/>
            <w:tcMar>
              <w:top w:w="0" w:type="dxa"/>
              <w:bottom w:w="0" w:type="dxa"/>
            </w:tcMar>
            <w:vAlign w:val="center"/>
          </w:tcPr>
          <w:p w:rsidR="00DD4A1D" w:rsidRDefault="003C107F">
            <w:pPr>
              <w:keepNext/>
              <w:keepLines/>
              <w:spacing w:after="0" w:line="240" w:lineRule="auto"/>
              <w:jc w:val="right"/>
            </w:pPr>
            <w:r>
              <w:rPr>
                <w:sz w:val="18"/>
              </w:rPr>
              <w:t>786.075,63</w:t>
            </w:r>
          </w:p>
        </w:tc>
        <w:tc>
          <w:tcPr>
            <w:tcW w:w="700" w:type="dxa"/>
            <w:tcMar>
              <w:top w:w="0" w:type="dxa"/>
              <w:bottom w:w="0" w:type="dxa"/>
            </w:tcMar>
            <w:vAlign w:val="center"/>
          </w:tcPr>
          <w:p w:rsidR="00DD4A1D" w:rsidRDefault="003C107F">
            <w:pPr>
              <w:keepNext/>
              <w:keepLines/>
              <w:spacing w:after="0" w:line="240" w:lineRule="auto"/>
              <w:jc w:val="right"/>
            </w:pPr>
            <w:r>
              <w:rPr>
                <w:sz w:val="18"/>
              </w:rPr>
              <w:t>128,4</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DD4A1D">
            <w:pPr>
              <w:keepNext/>
              <w:keepLines/>
              <w:spacing w:after="0" w:line="240" w:lineRule="auto"/>
            </w:pPr>
          </w:p>
        </w:tc>
        <w:tc>
          <w:tcPr>
            <w:tcW w:w="3180" w:type="dxa"/>
            <w:tcMar>
              <w:top w:w="0" w:type="dxa"/>
              <w:bottom w:w="0" w:type="dxa"/>
            </w:tcMar>
            <w:vAlign w:val="center"/>
          </w:tcPr>
          <w:p w:rsidR="00DD4A1D" w:rsidRDefault="003C107F">
            <w:pPr>
              <w:keepNext/>
              <w:keepLines/>
              <w:spacing w:after="0" w:line="240" w:lineRule="auto"/>
            </w:pPr>
            <w:r>
              <w:rPr>
                <w:b/>
                <w:sz w:val="18"/>
              </w:rPr>
              <w:t>MANJAK PRIHODA POSLOVANJA (šifre Z005-6)</w:t>
            </w:r>
          </w:p>
        </w:tc>
        <w:tc>
          <w:tcPr>
            <w:tcW w:w="700" w:type="dxa"/>
            <w:tcMar>
              <w:top w:w="0" w:type="dxa"/>
              <w:bottom w:w="0" w:type="dxa"/>
            </w:tcMar>
            <w:vAlign w:val="center"/>
          </w:tcPr>
          <w:p w:rsidR="00DD4A1D" w:rsidRDefault="003C107F">
            <w:pPr>
              <w:keepNext/>
              <w:keepLines/>
              <w:spacing w:after="0" w:line="240" w:lineRule="auto"/>
            </w:pPr>
            <w:r>
              <w:rPr>
                <w:b/>
                <w:sz w:val="18"/>
              </w:rPr>
              <w:t>Y001</w:t>
            </w:r>
          </w:p>
        </w:tc>
        <w:tc>
          <w:tcPr>
            <w:tcW w:w="1860" w:type="dxa"/>
            <w:tcMar>
              <w:top w:w="0" w:type="dxa"/>
              <w:bottom w:w="0" w:type="dxa"/>
            </w:tcMar>
            <w:vAlign w:val="center"/>
          </w:tcPr>
          <w:p w:rsidR="00DD4A1D" w:rsidRDefault="003C107F">
            <w:pPr>
              <w:keepNext/>
              <w:keepLines/>
              <w:spacing w:after="0" w:line="240" w:lineRule="auto"/>
              <w:jc w:val="right"/>
            </w:pPr>
            <w:r>
              <w:rPr>
                <w:b/>
                <w:sz w:val="18"/>
              </w:rPr>
              <w:t>0,00</w:t>
            </w:r>
          </w:p>
        </w:tc>
        <w:tc>
          <w:tcPr>
            <w:tcW w:w="1860" w:type="dxa"/>
            <w:tcMar>
              <w:top w:w="0" w:type="dxa"/>
              <w:bottom w:w="0" w:type="dxa"/>
            </w:tcMar>
            <w:vAlign w:val="center"/>
          </w:tcPr>
          <w:p w:rsidR="00DD4A1D" w:rsidRDefault="003C107F">
            <w:pPr>
              <w:keepNext/>
              <w:keepLines/>
              <w:spacing w:after="0" w:line="240" w:lineRule="auto"/>
              <w:jc w:val="right"/>
            </w:pPr>
            <w:r>
              <w:rPr>
                <w:b/>
                <w:sz w:val="18"/>
              </w:rPr>
              <w:t>101.001,04</w:t>
            </w:r>
          </w:p>
        </w:tc>
        <w:tc>
          <w:tcPr>
            <w:tcW w:w="700" w:type="dxa"/>
            <w:tcMar>
              <w:top w:w="0" w:type="dxa"/>
              <w:bottom w:w="0" w:type="dxa"/>
            </w:tcMar>
            <w:vAlign w:val="center"/>
          </w:tcPr>
          <w:p w:rsidR="00DD4A1D" w:rsidRDefault="003C107F">
            <w:pPr>
              <w:keepNext/>
              <w:keepLines/>
              <w:spacing w:after="0" w:line="240" w:lineRule="auto"/>
              <w:jc w:val="right"/>
            </w:pPr>
            <w:r>
              <w:rPr>
                <w:b/>
                <w:sz w:val="18"/>
              </w:rPr>
              <w:t>-</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7</w:t>
            </w:r>
          </w:p>
        </w:tc>
        <w:tc>
          <w:tcPr>
            <w:tcW w:w="3180" w:type="dxa"/>
            <w:tcMar>
              <w:top w:w="0" w:type="dxa"/>
              <w:bottom w:w="0" w:type="dxa"/>
            </w:tcMar>
            <w:vAlign w:val="center"/>
          </w:tcPr>
          <w:p w:rsidR="00DD4A1D" w:rsidRDefault="003C107F">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DD4A1D" w:rsidRDefault="003C107F">
            <w:pPr>
              <w:keepNext/>
              <w:keepLines/>
              <w:spacing w:after="0" w:line="240" w:lineRule="auto"/>
            </w:pPr>
            <w:r>
              <w:rPr>
                <w:sz w:val="18"/>
              </w:rPr>
              <w:t>7</w:t>
            </w:r>
          </w:p>
        </w:tc>
        <w:tc>
          <w:tcPr>
            <w:tcW w:w="1860" w:type="dxa"/>
            <w:tcMar>
              <w:top w:w="0" w:type="dxa"/>
              <w:bottom w:w="0" w:type="dxa"/>
            </w:tcMar>
            <w:vAlign w:val="center"/>
          </w:tcPr>
          <w:p w:rsidR="00DD4A1D" w:rsidRDefault="003C107F">
            <w:pPr>
              <w:keepNext/>
              <w:keepLines/>
              <w:spacing w:after="0" w:line="240" w:lineRule="auto"/>
              <w:jc w:val="right"/>
            </w:pPr>
            <w:r>
              <w:rPr>
                <w:sz w:val="18"/>
              </w:rPr>
              <w:t>46,20</w:t>
            </w:r>
          </w:p>
        </w:tc>
        <w:tc>
          <w:tcPr>
            <w:tcW w:w="1860" w:type="dxa"/>
            <w:tcMar>
              <w:top w:w="0" w:type="dxa"/>
              <w:bottom w:w="0" w:type="dxa"/>
            </w:tcMar>
            <w:vAlign w:val="center"/>
          </w:tcPr>
          <w:p w:rsidR="00DD4A1D" w:rsidRDefault="003C107F">
            <w:pPr>
              <w:keepNext/>
              <w:keepLines/>
              <w:spacing w:after="0" w:line="240" w:lineRule="auto"/>
              <w:jc w:val="right"/>
            </w:pPr>
            <w:r>
              <w:rPr>
                <w:sz w:val="18"/>
              </w:rPr>
              <w:t>6,89</w:t>
            </w:r>
          </w:p>
        </w:tc>
        <w:tc>
          <w:tcPr>
            <w:tcW w:w="700" w:type="dxa"/>
            <w:tcMar>
              <w:top w:w="0" w:type="dxa"/>
              <w:bottom w:w="0" w:type="dxa"/>
            </w:tcMar>
            <w:vAlign w:val="center"/>
          </w:tcPr>
          <w:p w:rsidR="00DD4A1D" w:rsidRDefault="003C107F">
            <w:pPr>
              <w:keepNext/>
              <w:keepLines/>
              <w:spacing w:after="0" w:line="240" w:lineRule="auto"/>
              <w:jc w:val="right"/>
            </w:pPr>
            <w:r>
              <w:rPr>
                <w:sz w:val="18"/>
              </w:rPr>
              <w:t>14,9</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4</w:t>
            </w:r>
          </w:p>
        </w:tc>
        <w:tc>
          <w:tcPr>
            <w:tcW w:w="3180" w:type="dxa"/>
            <w:tcMar>
              <w:top w:w="0" w:type="dxa"/>
              <w:bottom w:w="0" w:type="dxa"/>
            </w:tcMar>
            <w:vAlign w:val="center"/>
          </w:tcPr>
          <w:p w:rsidR="00DD4A1D" w:rsidRDefault="003C107F">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DD4A1D" w:rsidRDefault="003C107F">
            <w:pPr>
              <w:keepNext/>
              <w:keepLines/>
              <w:spacing w:after="0" w:line="240" w:lineRule="auto"/>
            </w:pPr>
            <w:r>
              <w:rPr>
                <w:sz w:val="18"/>
              </w:rPr>
              <w:t>4</w:t>
            </w:r>
          </w:p>
        </w:tc>
        <w:tc>
          <w:tcPr>
            <w:tcW w:w="1860" w:type="dxa"/>
            <w:tcMar>
              <w:top w:w="0" w:type="dxa"/>
              <w:bottom w:w="0" w:type="dxa"/>
            </w:tcMar>
            <w:vAlign w:val="center"/>
          </w:tcPr>
          <w:p w:rsidR="00DD4A1D" w:rsidRDefault="003C107F">
            <w:pPr>
              <w:keepNext/>
              <w:keepLines/>
              <w:spacing w:after="0" w:line="240" w:lineRule="auto"/>
              <w:jc w:val="right"/>
            </w:pPr>
            <w:r>
              <w:rPr>
                <w:sz w:val="18"/>
              </w:rPr>
              <w:t>877,60</w:t>
            </w:r>
          </w:p>
        </w:tc>
        <w:tc>
          <w:tcPr>
            <w:tcW w:w="1860" w:type="dxa"/>
            <w:tcMar>
              <w:top w:w="0" w:type="dxa"/>
              <w:bottom w:w="0" w:type="dxa"/>
            </w:tcMar>
            <w:vAlign w:val="center"/>
          </w:tcPr>
          <w:p w:rsidR="00DD4A1D" w:rsidRDefault="003C107F">
            <w:pPr>
              <w:keepNext/>
              <w:keepLines/>
              <w:spacing w:after="0" w:line="240" w:lineRule="auto"/>
              <w:jc w:val="right"/>
            </w:pPr>
            <w:r>
              <w:rPr>
                <w:sz w:val="18"/>
              </w:rPr>
              <w:t>1.796,20</w:t>
            </w:r>
          </w:p>
        </w:tc>
        <w:tc>
          <w:tcPr>
            <w:tcW w:w="700" w:type="dxa"/>
            <w:tcMar>
              <w:top w:w="0" w:type="dxa"/>
              <w:bottom w:w="0" w:type="dxa"/>
            </w:tcMar>
            <w:vAlign w:val="center"/>
          </w:tcPr>
          <w:p w:rsidR="00DD4A1D" w:rsidRDefault="003C107F">
            <w:pPr>
              <w:keepNext/>
              <w:keepLines/>
              <w:spacing w:after="0" w:line="240" w:lineRule="auto"/>
              <w:jc w:val="right"/>
            </w:pPr>
            <w:r>
              <w:rPr>
                <w:sz w:val="18"/>
              </w:rPr>
              <w:t>204,7</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DD4A1D">
            <w:pPr>
              <w:keepNext/>
              <w:keepLines/>
              <w:spacing w:after="0" w:line="240" w:lineRule="auto"/>
            </w:pPr>
          </w:p>
        </w:tc>
        <w:tc>
          <w:tcPr>
            <w:tcW w:w="3180" w:type="dxa"/>
            <w:tcMar>
              <w:top w:w="0" w:type="dxa"/>
              <w:bottom w:w="0" w:type="dxa"/>
            </w:tcMar>
            <w:vAlign w:val="center"/>
          </w:tcPr>
          <w:p w:rsidR="00DD4A1D" w:rsidRDefault="003C107F">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DD4A1D" w:rsidRDefault="003C107F">
            <w:pPr>
              <w:keepNext/>
              <w:keepLines/>
              <w:spacing w:after="0" w:line="240" w:lineRule="auto"/>
            </w:pPr>
            <w:r>
              <w:rPr>
                <w:b/>
                <w:sz w:val="18"/>
              </w:rPr>
              <w:t>Y002</w:t>
            </w:r>
          </w:p>
        </w:tc>
        <w:tc>
          <w:tcPr>
            <w:tcW w:w="1860" w:type="dxa"/>
            <w:tcMar>
              <w:top w:w="0" w:type="dxa"/>
              <w:bottom w:w="0" w:type="dxa"/>
            </w:tcMar>
            <w:vAlign w:val="center"/>
          </w:tcPr>
          <w:p w:rsidR="00DD4A1D" w:rsidRDefault="003C107F">
            <w:pPr>
              <w:keepNext/>
              <w:keepLines/>
              <w:spacing w:after="0" w:line="240" w:lineRule="auto"/>
              <w:jc w:val="right"/>
            </w:pPr>
            <w:r>
              <w:rPr>
                <w:b/>
                <w:sz w:val="18"/>
              </w:rPr>
              <w:t>831,40</w:t>
            </w:r>
          </w:p>
        </w:tc>
        <w:tc>
          <w:tcPr>
            <w:tcW w:w="1860" w:type="dxa"/>
            <w:tcMar>
              <w:top w:w="0" w:type="dxa"/>
              <w:bottom w:w="0" w:type="dxa"/>
            </w:tcMar>
            <w:vAlign w:val="center"/>
          </w:tcPr>
          <w:p w:rsidR="00DD4A1D" w:rsidRDefault="003C107F">
            <w:pPr>
              <w:keepNext/>
              <w:keepLines/>
              <w:spacing w:after="0" w:line="240" w:lineRule="auto"/>
              <w:jc w:val="right"/>
            </w:pPr>
            <w:r>
              <w:rPr>
                <w:b/>
                <w:sz w:val="18"/>
              </w:rPr>
              <w:t>1.789,31</w:t>
            </w:r>
          </w:p>
        </w:tc>
        <w:tc>
          <w:tcPr>
            <w:tcW w:w="700" w:type="dxa"/>
            <w:tcMar>
              <w:top w:w="0" w:type="dxa"/>
              <w:bottom w:w="0" w:type="dxa"/>
            </w:tcMar>
            <w:vAlign w:val="center"/>
          </w:tcPr>
          <w:p w:rsidR="00DD4A1D" w:rsidRDefault="003C107F">
            <w:pPr>
              <w:keepNext/>
              <w:keepLines/>
              <w:spacing w:after="0" w:line="240" w:lineRule="auto"/>
              <w:jc w:val="right"/>
            </w:pPr>
            <w:r>
              <w:rPr>
                <w:b/>
                <w:sz w:val="18"/>
              </w:rPr>
              <w:t>215,2</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8</w:t>
            </w:r>
          </w:p>
        </w:tc>
        <w:tc>
          <w:tcPr>
            <w:tcW w:w="3180" w:type="dxa"/>
            <w:tcMar>
              <w:top w:w="0" w:type="dxa"/>
              <w:bottom w:w="0" w:type="dxa"/>
            </w:tcMar>
            <w:vAlign w:val="center"/>
          </w:tcPr>
          <w:p w:rsidR="00DD4A1D" w:rsidRDefault="003C107F">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DD4A1D" w:rsidRDefault="003C107F">
            <w:pPr>
              <w:keepNext/>
              <w:keepLines/>
              <w:spacing w:after="0" w:line="240" w:lineRule="auto"/>
            </w:pPr>
            <w:r>
              <w:rPr>
                <w:sz w:val="18"/>
              </w:rPr>
              <w:t>8</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5</w:t>
            </w:r>
          </w:p>
        </w:tc>
        <w:tc>
          <w:tcPr>
            <w:tcW w:w="3180" w:type="dxa"/>
            <w:tcMar>
              <w:top w:w="0" w:type="dxa"/>
              <w:bottom w:w="0" w:type="dxa"/>
            </w:tcMar>
            <w:vAlign w:val="center"/>
          </w:tcPr>
          <w:p w:rsidR="00DD4A1D" w:rsidRDefault="003C107F">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DD4A1D" w:rsidRDefault="003C107F">
            <w:pPr>
              <w:keepNext/>
              <w:keepLines/>
              <w:spacing w:after="0" w:line="240" w:lineRule="auto"/>
            </w:pPr>
            <w:r>
              <w:rPr>
                <w:sz w:val="18"/>
              </w:rPr>
              <w:t>5</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DD4A1D">
            <w:pPr>
              <w:keepNext/>
              <w:keepLines/>
              <w:spacing w:after="0" w:line="240" w:lineRule="auto"/>
            </w:pPr>
          </w:p>
        </w:tc>
        <w:tc>
          <w:tcPr>
            <w:tcW w:w="3180" w:type="dxa"/>
            <w:tcMar>
              <w:top w:w="0" w:type="dxa"/>
              <w:bottom w:w="0" w:type="dxa"/>
            </w:tcMar>
            <w:vAlign w:val="center"/>
          </w:tcPr>
          <w:p w:rsidR="00DD4A1D" w:rsidRDefault="003C107F">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DD4A1D" w:rsidRDefault="003C107F">
            <w:pPr>
              <w:keepNext/>
              <w:keepLines/>
              <w:spacing w:after="0" w:line="240" w:lineRule="auto"/>
            </w:pPr>
            <w:r>
              <w:rPr>
                <w:b/>
                <w:sz w:val="18"/>
              </w:rPr>
              <w:t>X003, Y003</w:t>
            </w:r>
          </w:p>
        </w:tc>
        <w:tc>
          <w:tcPr>
            <w:tcW w:w="1860" w:type="dxa"/>
            <w:tcMar>
              <w:top w:w="0" w:type="dxa"/>
              <w:bottom w:w="0" w:type="dxa"/>
            </w:tcMar>
            <w:vAlign w:val="center"/>
          </w:tcPr>
          <w:p w:rsidR="00DD4A1D" w:rsidRDefault="003C107F">
            <w:pPr>
              <w:keepNext/>
              <w:keepLines/>
              <w:spacing w:after="0" w:line="240" w:lineRule="auto"/>
              <w:jc w:val="right"/>
            </w:pPr>
            <w:r>
              <w:rPr>
                <w:b/>
                <w:sz w:val="18"/>
              </w:rPr>
              <w:t>0,00</w:t>
            </w:r>
          </w:p>
        </w:tc>
        <w:tc>
          <w:tcPr>
            <w:tcW w:w="1860" w:type="dxa"/>
            <w:tcMar>
              <w:top w:w="0" w:type="dxa"/>
              <w:bottom w:w="0" w:type="dxa"/>
            </w:tcMar>
            <w:vAlign w:val="center"/>
          </w:tcPr>
          <w:p w:rsidR="00DD4A1D" w:rsidRDefault="003C107F">
            <w:pPr>
              <w:keepNext/>
              <w:keepLines/>
              <w:spacing w:after="0" w:line="240" w:lineRule="auto"/>
              <w:jc w:val="right"/>
            </w:pPr>
            <w:r>
              <w:rPr>
                <w:b/>
                <w:sz w:val="18"/>
              </w:rPr>
              <w:t>0,00</w:t>
            </w:r>
          </w:p>
        </w:tc>
        <w:tc>
          <w:tcPr>
            <w:tcW w:w="700" w:type="dxa"/>
            <w:tcMar>
              <w:top w:w="0" w:type="dxa"/>
              <w:bottom w:w="0" w:type="dxa"/>
            </w:tcMar>
            <w:vAlign w:val="center"/>
          </w:tcPr>
          <w:p w:rsidR="00DD4A1D" w:rsidRDefault="003C107F">
            <w:pPr>
              <w:keepNext/>
              <w:keepLines/>
              <w:spacing w:after="0" w:line="240" w:lineRule="auto"/>
              <w:jc w:val="right"/>
            </w:pPr>
            <w:r>
              <w:rPr>
                <w:b/>
                <w:sz w:val="18"/>
              </w:rPr>
              <w:t>-</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DD4A1D">
            <w:pPr>
              <w:keepNext/>
              <w:keepLines/>
              <w:spacing w:after="0" w:line="240" w:lineRule="auto"/>
            </w:pPr>
          </w:p>
        </w:tc>
        <w:tc>
          <w:tcPr>
            <w:tcW w:w="3180" w:type="dxa"/>
            <w:tcMar>
              <w:top w:w="0" w:type="dxa"/>
              <w:bottom w:w="0" w:type="dxa"/>
            </w:tcMar>
            <w:vAlign w:val="center"/>
          </w:tcPr>
          <w:p w:rsidR="00DD4A1D" w:rsidRDefault="003C107F">
            <w:pPr>
              <w:keepNext/>
              <w:keepLines/>
              <w:spacing w:after="0" w:line="240" w:lineRule="auto"/>
            </w:pPr>
            <w:r>
              <w:rPr>
                <w:b/>
                <w:sz w:val="18"/>
              </w:rPr>
              <w:t>MANJAK PRIHODA I PRIMITAKA (šifre Y345-X678)</w:t>
            </w:r>
          </w:p>
        </w:tc>
        <w:tc>
          <w:tcPr>
            <w:tcW w:w="700" w:type="dxa"/>
            <w:tcMar>
              <w:top w:w="0" w:type="dxa"/>
              <w:bottom w:w="0" w:type="dxa"/>
            </w:tcMar>
            <w:vAlign w:val="center"/>
          </w:tcPr>
          <w:p w:rsidR="00DD4A1D" w:rsidRDefault="003C107F">
            <w:pPr>
              <w:keepNext/>
              <w:keepLines/>
              <w:spacing w:after="0" w:line="240" w:lineRule="auto"/>
            </w:pPr>
            <w:r>
              <w:rPr>
                <w:b/>
                <w:sz w:val="18"/>
              </w:rPr>
              <w:t>Y005</w:t>
            </w:r>
          </w:p>
        </w:tc>
        <w:tc>
          <w:tcPr>
            <w:tcW w:w="1860" w:type="dxa"/>
            <w:tcMar>
              <w:top w:w="0" w:type="dxa"/>
              <w:bottom w:w="0" w:type="dxa"/>
            </w:tcMar>
            <w:vAlign w:val="center"/>
          </w:tcPr>
          <w:p w:rsidR="00DD4A1D" w:rsidRDefault="003C107F">
            <w:pPr>
              <w:keepNext/>
              <w:keepLines/>
              <w:spacing w:after="0" w:line="240" w:lineRule="auto"/>
              <w:jc w:val="right"/>
            </w:pPr>
            <w:r>
              <w:rPr>
                <w:b/>
                <w:sz w:val="18"/>
              </w:rPr>
              <w:t>389,74</w:t>
            </w:r>
          </w:p>
        </w:tc>
        <w:tc>
          <w:tcPr>
            <w:tcW w:w="1860" w:type="dxa"/>
            <w:tcMar>
              <w:top w:w="0" w:type="dxa"/>
              <w:bottom w:w="0" w:type="dxa"/>
            </w:tcMar>
            <w:vAlign w:val="center"/>
          </w:tcPr>
          <w:p w:rsidR="00DD4A1D" w:rsidRDefault="003C107F">
            <w:pPr>
              <w:keepNext/>
              <w:keepLines/>
              <w:spacing w:after="0" w:line="240" w:lineRule="auto"/>
              <w:jc w:val="right"/>
            </w:pPr>
            <w:r>
              <w:rPr>
                <w:b/>
                <w:sz w:val="18"/>
              </w:rPr>
              <w:t>102.790,35</w:t>
            </w:r>
          </w:p>
        </w:tc>
        <w:tc>
          <w:tcPr>
            <w:tcW w:w="700" w:type="dxa"/>
            <w:tcMar>
              <w:top w:w="0" w:type="dxa"/>
              <w:bottom w:w="0" w:type="dxa"/>
            </w:tcMar>
            <w:vAlign w:val="center"/>
          </w:tcPr>
          <w:p w:rsidR="00DD4A1D" w:rsidRDefault="003C107F">
            <w:pPr>
              <w:keepNext/>
              <w:keepLines/>
              <w:spacing w:after="0" w:line="240" w:lineRule="auto"/>
              <w:jc w:val="right"/>
            </w:pPr>
            <w:r>
              <w:rPr>
                <w:b/>
                <w:sz w:val="18"/>
              </w:rPr>
              <w:t>&gt;&gt;100</w:t>
            </w:r>
          </w:p>
        </w:tc>
      </w:tr>
    </w:tbl>
    <w:p w:rsidR="00DD4A1D" w:rsidRDefault="00DD4A1D">
      <w:pPr>
        <w:spacing w:after="0"/>
      </w:pPr>
    </w:p>
    <w:p w:rsidR="00DD4A1D" w:rsidRDefault="003C107F">
      <w:pPr>
        <w:spacing w:line="240" w:lineRule="auto"/>
        <w:jc w:val="both"/>
      </w:pPr>
      <w:r>
        <w:t xml:space="preserve">Osnovna škola "Ljudevit Gaj"  </w:t>
      </w:r>
      <w:proofErr w:type="spellStart"/>
      <w:r>
        <w:t>Mihovljan</w:t>
      </w:r>
      <w:proofErr w:type="spellEnd"/>
      <w:r>
        <w:t xml:space="preserve"> vodi proračunsko </w:t>
      </w:r>
      <w:r>
        <w:t>računovodstvo temeljem Pravilnika o proračunskom računovodstvu i Računskom  planu (NN 158/2023. i 154/2024.), a financijske izvještaje sastavlja i predaje u skladu s odredbama Pravilnika o financijskom izvještavanju u proračunskom računovodstvu (NN 37/2022</w:t>
      </w:r>
      <w:r>
        <w:t xml:space="preserve">. i /2025.) U izvještajnom razdoblju škola je imala prosječno 50 zaposlenih na osnovi stanja krajem mjeseca i 40 na </w:t>
      </w:r>
      <w:r>
        <w:lastRenderedPageBreak/>
        <w:t xml:space="preserve">osnovi sati rada. U matičnoj školi </w:t>
      </w:r>
      <w:proofErr w:type="spellStart"/>
      <w:r>
        <w:t>Mihovljan</w:t>
      </w:r>
      <w:proofErr w:type="spellEnd"/>
      <w:r>
        <w:t xml:space="preserve"> bila su 92 učenika, a u Područnoj školi Novi </w:t>
      </w:r>
      <w:proofErr w:type="spellStart"/>
      <w:r>
        <w:t>Golubovec</w:t>
      </w:r>
      <w:proofErr w:type="spellEnd"/>
      <w:r>
        <w:t xml:space="preserve"> 95 učenika. Ovaj financijski izvještaj p</w:t>
      </w:r>
      <w:r>
        <w:t>redan je iz SPI sustava.</w:t>
      </w:r>
    </w:p>
    <w:p w:rsidR="00DD4A1D" w:rsidRDefault="003C107F">
      <w:r>
        <w:br/>
      </w:r>
    </w:p>
    <w:p w:rsidR="00DD4A1D" w:rsidRDefault="003C107F">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w:t>
            </w:r>
          </w:p>
        </w:tc>
        <w:tc>
          <w:tcPr>
            <w:tcW w:w="3180" w:type="dxa"/>
            <w:tcMar>
              <w:top w:w="0" w:type="dxa"/>
              <w:bottom w:w="0" w:type="dxa"/>
            </w:tcMar>
            <w:vAlign w:val="center"/>
          </w:tcPr>
          <w:p w:rsidR="00DD4A1D" w:rsidRDefault="003C107F">
            <w:pPr>
              <w:keepNext/>
              <w:keepLines/>
              <w:spacing w:after="0" w:line="240" w:lineRule="auto"/>
            </w:pPr>
            <w:r>
              <w:rPr>
                <w:sz w:val="18"/>
              </w:rPr>
              <w:t>PRIHODI POSLOVANJA (šifre 61+62+63+64+65+66+67+68)</w:t>
            </w:r>
          </w:p>
        </w:tc>
        <w:tc>
          <w:tcPr>
            <w:tcW w:w="700" w:type="dxa"/>
            <w:tcMar>
              <w:top w:w="0" w:type="dxa"/>
              <w:bottom w:w="0" w:type="dxa"/>
            </w:tcMar>
            <w:vAlign w:val="center"/>
          </w:tcPr>
          <w:p w:rsidR="00DD4A1D" w:rsidRDefault="003C107F">
            <w:pPr>
              <w:keepNext/>
              <w:keepLines/>
              <w:spacing w:after="0" w:line="240" w:lineRule="auto"/>
            </w:pPr>
            <w:r>
              <w:rPr>
                <w:sz w:val="18"/>
              </w:rPr>
              <w:t>6</w:t>
            </w:r>
          </w:p>
        </w:tc>
        <w:tc>
          <w:tcPr>
            <w:tcW w:w="1860" w:type="dxa"/>
            <w:tcMar>
              <w:top w:w="0" w:type="dxa"/>
              <w:bottom w:w="0" w:type="dxa"/>
            </w:tcMar>
            <w:vAlign w:val="center"/>
          </w:tcPr>
          <w:p w:rsidR="00DD4A1D" w:rsidRDefault="003C107F">
            <w:pPr>
              <w:keepNext/>
              <w:keepLines/>
              <w:spacing w:after="0" w:line="240" w:lineRule="auto"/>
              <w:jc w:val="right"/>
            </w:pPr>
            <w:r>
              <w:rPr>
                <w:sz w:val="18"/>
              </w:rPr>
              <w:t>612.671,28</w:t>
            </w:r>
          </w:p>
        </w:tc>
        <w:tc>
          <w:tcPr>
            <w:tcW w:w="1860" w:type="dxa"/>
            <w:tcMar>
              <w:top w:w="0" w:type="dxa"/>
              <w:bottom w:w="0" w:type="dxa"/>
            </w:tcMar>
            <w:vAlign w:val="center"/>
          </w:tcPr>
          <w:p w:rsidR="00DD4A1D" w:rsidRDefault="003C107F">
            <w:pPr>
              <w:keepNext/>
              <w:keepLines/>
              <w:spacing w:after="0" w:line="240" w:lineRule="auto"/>
              <w:jc w:val="right"/>
            </w:pPr>
            <w:r>
              <w:rPr>
                <w:sz w:val="18"/>
              </w:rPr>
              <w:t>685.074,59</w:t>
            </w:r>
          </w:p>
        </w:tc>
        <w:tc>
          <w:tcPr>
            <w:tcW w:w="700" w:type="dxa"/>
            <w:tcMar>
              <w:top w:w="0" w:type="dxa"/>
              <w:bottom w:w="0" w:type="dxa"/>
            </w:tcMar>
            <w:vAlign w:val="center"/>
          </w:tcPr>
          <w:p w:rsidR="00DD4A1D" w:rsidRDefault="003C107F">
            <w:pPr>
              <w:keepNext/>
              <w:keepLines/>
              <w:spacing w:after="0" w:line="240" w:lineRule="auto"/>
              <w:jc w:val="right"/>
            </w:pPr>
            <w:r>
              <w:rPr>
                <w:sz w:val="18"/>
              </w:rPr>
              <w:t>111,8</w:t>
            </w:r>
          </w:p>
        </w:tc>
      </w:tr>
    </w:tbl>
    <w:p w:rsidR="00DD4A1D" w:rsidRDefault="00DD4A1D">
      <w:pPr>
        <w:spacing w:after="0"/>
      </w:pPr>
    </w:p>
    <w:p w:rsidR="00DD4A1D" w:rsidRDefault="003C107F">
      <w:pPr>
        <w:spacing w:line="240" w:lineRule="auto"/>
        <w:jc w:val="both"/>
      </w:pPr>
      <w:r>
        <w:t>Ukupni prihodi poslovanja u odnosu na isto razdoblje prethodne godine povećani su za 11,8% i to iz svih izvora financiranja.</w:t>
      </w:r>
    </w:p>
    <w:p w:rsidR="00DD4A1D" w:rsidRDefault="00DD4A1D"/>
    <w:p w:rsidR="00DD4A1D" w:rsidRDefault="003C107F">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w:t>
            </w:r>
            <w:r>
              <w:rPr>
                <w:b/>
                <w:sz w:val="18"/>
              </w:rPr>
              <w:t xml:space="preserve">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63</w:t>
            </w:r>
          </w:p>
        </w:tc>
        <w:tc>
          <w:tcPr>
            <w:tcW w:w="3180" w:type="dxa"/>
            <w:tcMar>
              <w:top w:w="0" w:type="dxa"/>
              <w:bottom w:w="0" w:type="dxa"/>
            </w:tcMar>
            <w:vAlign w:val="center"/>
          </w:tcPr>
          <w:p w:rsidR="00DD4A1D" w:rsidRDefault="003C107F">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rsidR="00DD4A1D" w:rsidRDefault="003C107F">
            <w:pPr>
              <w:keepNext/>
              <w:keepLines/>
              <w:spacing w:after="0" w:line="240" w:lineRule="auto"/>
            </w:pPr>
            <w:r>
              <w:rPr>
                <w:sz w:val="18"/>
              </w:rPr>
              <w:t>63</w:t>
            </w:r>
          </w:p>
        </w:tc>
        <w:tc>
          <w:tcPr>
            <w:tcW w:w="1860" w:type="dxa"/>
            <w:tcMar>
              <w:top w:w="0" w:type="dxa"/>
              <w:bottom w:w="0" w:type="dxa"/>
            </w:tcMar>
            <w:vAlign w:val="center"/>
          </w:tcPr>
          <w:p w:rsidR="00DD4A1D" w:rsidRDefault="003C107F">
            <w:pPr>
              <w:keepNext/>
              <w:keepLines/>
              <w:spacing w:after="0" w:line="240" w:lineRule="auto"/>
              <w:jc w:val="right"/>
            </w:pPr>
            <w:r>
              <w:rPr>
                <w:sz w:val="18"/>
              </w:rPr>
              <w:t>559.653,15</w:t>
            </w:r>
          </w:p>
        </w:tc>
        <w:tc>
          <w:tcPr>
            <w:tcW w:w="1860" w:type="dxa"/>
            <w:tcMar>
              <w:top w:w="0" w:type="dxa"/>
              <w:bottom w:w="0" w:type="dxa"/>
            </w:tcMar>
            <w:vAlign w:val="center"/>
          </w:tcPr>
          <w:p w:rsidR="00DD4A1D" w:rsidRDefault="003C107F">
            <w:pPr>
              <w:keepNext/>
              <w:keepLines/>
              <w:spacing w:after="0" w:line="240" w:lineRule="auto"/>
              <w:jc w:val="right"/>
            </w:pPr>
            <w:r>
              <w:rPr>
                <w:sz w:val="18"/>
              </w:rPr>
              <w:t>623.685,56</w:t>
            </w:r>
          </w:p>
        </w:tc>
        <w:tc>
          <w:tcPr>
            <w:tcW w:w="700" w:type="dxa"/>
            <w:tcMar>
              <w:top w:w="0" w:type="dxa"/>
              <w:bottom w:w="0" w:type="dxa"/>
            </w:tcMar>
            <w:vAlign w:val="center"/>
          </w:tcPr>
          <w:p w:rsidR="00DD4A1D" w:rsidRDefault="003C107F">
            <w:pPr>
              <w:keepNext/>
              <w:keepLines/>
              <w:spacing w:after="0" w:line="240" w:lineRule="auto"/>
              <w:jc w:val="right"/>
            </w:pPr>
            <w:r>
              <w:rPr>
                <w:sz w:val="18"/>
              </w:rPr>
              <w:t>111,4</w:t>
            </w:r>
          </w:p>
        </w:tc>
      </w:tr>
    </w:tbl>
    <w:p w:rsidR="00DD4A1D" w:rsidRDefault="00DD4A1D">
      <w:pPr>
        <w:spacing w:after="0"/>
      </w:pPr>
    </w:p>
    <w:p w:rsidR="00DD4A1D" w:rsidRDefault="003C107F">
      <w:pPr>
        <w:spacing w:line="240" w:lineRule="auto"/>
        <w:jc w:val="both"/>
      </w:pPr>
      <w:r>
        <w:t xml:space="preserve">Ukupne pomoći iz državnog i proračuna jedinice lokalne uprave i </w:t>
      </w:r>
      <w:r>
        <w:t>samouprave povećani su za 11,4%.</w:t>
      </w:r>
    </w:p>
    <w:p w:rsidR="00DD4A1D" w:rsidRDefault="00DD4A1D"/>
    <w:p w:rsidR="00DD4A1D" w:rsidRDefault="003C107F">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636</w:t>
            </w:r>
          </w:p>
        </w:tc>
        <w:tc>
          <w:tcPr>
            <w:tcW w:w="3180" w:type="dxa"/>
            <w:tcMar>
              <w:top w:w="0" w:type="dxa"/>
              <w:bottom w:w="0" w:type="dxa"/>
            </w:tcMar>
            <w:vAlign w:val="center"/>
          </w:tcPr>
          <w:p w:rsidR="00DD4A1D" w:rsidRDefault="003C107F">
            <w:pPr>
              <w:keepNext/>
              <w:keepLines/>
              <w:spacing w:after="0" w:line="240" w:lineRule="auto"/>
            </w:pPr>
            <w:r>
              <w:rPr>
                <w:sz w:val="18"/>
              </w:rPr>
              <w:t xml:space="preserve">Pomoći proračunskim korisnicima iz proračuna koji im </w:t>
            </w:r>
            <w:r>
              <w:rPr>
                <w:sz w:val="18"/>
              </w:rPr>
              <w:t>nije nadležan (šifre 6361+6362)</w:t>
            </w:r>
          </w:p>
        </w:tc>
        <w:tc>
          <w:tcPr>
            <w:tcW w:w="700" w:type="dxa"/>
            <w:tcMar>
              <w:top w:w="0" w:type="dxa"/>
              <w:bottom w:w="0" w:type="dxa"/>
            </w:tcMar>
            <w:vAlign w:val="center"/>
          </w:tcPr>
          <w:p w:rsidR="00DD4A1D" w:rsidRDefault="003C107F">
            <w:pPr>
              <w:keepNext/>
              <w:keepLines/>
              <w:spacing w:after="0" w:line="240" w:lineRule="auto"/>
            </w:pPr>
            <w:r>
              <w:rPr>
                <w:sz w:val="18"/>
              </w:rPr>
              <w:t>636</w:t>
            </w:r>
          </w:p>
        </w:tc>
        <w:tc>
          <w:tcPr>
            <w:tcW w:w="1860" w:type="dxa"/>
            <w:tcMar>
              <w:top w:w="0" w:type="dxa"/>
              <w:bottom w:w="0" w:type="dxa"/>
            </w:tcMar>
            <w:vAlign w:val="center"/>
          </w:tcPr>
          <w:p w:rsidR="00DD4A1D" w:rsidRDefault="003C107F">
            <w:pPr>
              <w:keepNext/>
              <w:keepLines/>
              <w:spacing w:after="0" w:line="240" w:lineRule="auto"/>
              <w:jc w:val="right"/>
            </w:pPr>
            <w:r>
              <w:rPr>
                <w:sz w:val="18"/>
              </w:rPr>
              <w:t>559.653,15</w:t>
            </w:r>
          </w:p>
        </w:tc>
        <w:tc>
          <w:tcPr>
            <w:tcW w:w="1860" w:type="dxa"/>
            <w:tcMar>
              <w:top w:w="0" w:type="dxa"/>
              <w:bottom w:w="0" w:type="dxa"/>
            </w:tcMar>
            <w:vAlign w:val="center"/>
          </w:tcPr>
          <w:p w:rsidR="00DD4A1D" w:rsidRDefault="003C107F">
            <w:pPr>
              <w:keepNext/>
              <w:keepLines/>
              <w:spacing w:after="0" w:line="240" w:lineRule="auto"/>
              <w:jc w:val="right"/>
            </w:pPr>
            <w:r>
              <w:rPr>
                <w:sz w:val="18"/>
              </w:rPr>
              <w:t>623.685,56</w:t>
            </w:r>
          </w:p>
        </w:tc>
        <w:tc>
          <w:tcPr>
            <w:tcW w:w="700" w:type="dxa"/>
            <w:tcMar>
              <w:top w:w="0" w:type="dxa"/>
              <w:bottom w:w="0" w:type="dxa"/>
            </w:tcMar>
            <w:vAlign w:val="center"/>
          </w:tcPr>
          <w:p w:rsidR="00DD4A1D" w:rsidRDefault="003C107F">
            <w:pPr>
              <w:keepNext/>
              <w:keepLines/>
              <w:spacing w:after="0" w:line="240" w:lineRule="auto"/>
              <w:jc w:val="right"/>
            </w:pPr>
            <w:r>
              <w:rPr>
                <w:sz w:val="18"/>
              </w:rPr>
              <w:t>111,4</w:t>
            </w:r>
          </w:p>
        </w:tc>
      </w:tr>
    </w:tbl>
    <w:p w:rsidR="00DD4A1D" w:rsidRDefault="00DD4A1D">
      <w:pPr>
        <w:spacing w:after="0"/>
      </w:pPr>
    </w:p>
    <w:p w:rsidR="00DD4A1D" w:rsidRDefault="003C107F">
      <w:pPr>
        <w:spacing w:line="240" w:lineRule="auto"/>
        <w:jc w:val="both"/>
      </w:pPr>
      <w:r>
        <w:t xml:space="preserve">Povećanje pomoći iz državnog proračuna odnosi se na povećanje pomoći za isplatu plaća prema Uredbi o nazivima radnih mjesta, uvjetima za raspored i koeficijentima za obračun plaće u javnim </w:t>
      </w:r>
      <w:r>
        <w:t>službama, te isplate materijalnih prava radnika. Povećanje iz lokalnih proračuna se odnosi na financiranje plaće i naknada  pomoćnika u nastavi i aktivnosti  kupnje namještaja i sitnog inventara.</w:t>
      </w:r>
    </w:p>
    <w:p w:rsidR="00DD4A1D" w:rsidRDefault="00DD4A1D"/>
    <w:p w:rsidR="00DD4A1D" w:rsidRDefault="003C107F">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w:t>
            </w:r>
            <w:r>
              <w:rPr>
                <w:b/>
                <w:sz w:val="18"/>
              </w:rPr>
              <w:t xml:space="preserve">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6362</w:t>
            </w:r>
          </w:p>
        </w:tc>
        <w:tc>
          <w:tcPr>
            <w:tcW w:w="3180" w:type="dxa"/>
            <w:tcMar>
              <w:top w:w="0" w:type="dxa"/>
              <w:bottom w:w="0" w:type="dxa"/>
            </w:tcMar>
            <w:vAlign w:val="center"/>
          </w:tcPr>
          <w:p w:rsidR="00DD4A1D" w:rsidRDefault="003C107F">
            <w:pPr>
              <w:keepNext/>
              <w:keepLines/>
              <w:spacing w:after="0" w:line="240" w:lineRule="auto"/>
            </w:pPr>
            <w:r>
              <w:rPr>
                <w:sz w:val="18"/>
              </w:rPr>
              <w:t>Kapitalne pomoći proračunskim korisnicima iz proračuna koji im nije nadležan</w:t>
            </w:r>
          </w:p>
        </w:tc>
        <w:tc>
          <w:tcPr>
            <w:tcW w:w="700" w:type="dxa"/>
            <w:tcMar>
              <w:top w:w="0" w:type="dxa"/>
              <w:bottom w:w="0" w:type="dxa"/>
            </w:tcMar>
            <w:vAlign w:val="center"/>
          </w:tcPr>
          <w:p w:rsidR="00DD4A1D" w:rsidRDefault="003C107F">
            <w:pPr>
              <w:keepNext/>
              <w:keepLines/>
              <w:spacing w:after="0" w:line="240" w:lineRule="auto"/>
            </w:pPr>
            <w:r>
              <w:rPr>
                <w:sz w:val="18"/>
              </w:rPr>
              <w:t>6362</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1.091,25</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 xml:space="preserve">Pomoći proračuna Općine Novi </w:t>
      </w:r>
      <w:proofErr w:type="spellStart"/>
      <w:r>
        <w:t>Golubovec</w:t>
      </w:r>
      <w:proofErr w:type="spellEnd"/>
      <w:r>
        <w:t xml:space="preserve"> za </w:t>
      </w:r>
      <w:r>
        <w:t>nabavu namještaja.</w:t>
      </w:r>
    </w:p>
    <w:p w:rsidR="00DD4A1D" w:rsidRDefault="00DD4A1D"/>
    <w:p w:rsidR="00DD4A1D" w:rsidRDefault="003C107F">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65</w:t>
            </w:r>
          </w:p>
        </w:tc>
        <w:tc>
          <w:tcPr>
            <w:tcW w:w="3180" w:type="dxa"/>
            <w:tcMar>
              <w:top w:w="0" w:type="dxa"/>
              <w:bottom w:w="0" w:type="dxa"/>
            </w:tcMar>
            <w:vAlign w:val="center"/>
          </w:tcPr>
          <w:p w:rsidR="00DD4A1D" w:rsidRDefault="003C107F">
            <w:pPr>
              <w:keepNext/>
              <w:keepLines/>
              <w:spacing w:after="0" w:line="240" w:lineRule="auto"/>
            </w:pPr>
            <w:r>
              <w:rPr>
                <w:sz w:val="18"/>
              </w:rPr>
              <w:t xml:space="preserve">Prihodi od upravnih i administrativnih pristojbi, pristojbi po </w:t>
            </w:r>
            <w:r>
              <w:rPr>
                <w:sz w:val="18"/>
              </w:rPr>
              <w:t>posebnim propisima i naknada (šifre 651+652+653+654)</w:t>
            </w:r>
          </w:p>
        </w:tc>
        <w:tc>
          <w:tcPr>
            <w:tcW w:w="700" w:type="dxa"/>
            <w:tcMar>
              <w:top w:w="0" w:type="dxa"/>
              <w:bottom w:w="0" w:type="dxa"/>
            </w:tcMar>
            <w:vAlign w:val="center"/>
          </w:tcPr>
          <w:p w:rsidR="00DD4A1D" w:rsidRDefault="003C107F">
            <w:pPr>
              <w:keepNext/>
              <w:keepLines/>
              <w:spacing w:after="0" w:line="240" w:lineRule="auto"/>
            </w:pPr>
            <w:r>
              <w:rPr>
                <w:sz w:val="18"/>
              </w:rPr>
              <w:t>65</w:t>
            </w:r>
          </w:p>
        </w:tc>
        <w:tc>
          <w:tcPr>
            <w:tcW w:w="1860" w:type="dxa"/>
            <w:tcMar>
              <w:top w:w="0" w:type="dxa"/>
              <w:bottom w:w="0" w:type="dxa"/>
            </w:tcMar>
            <w:vAlign w:val="center"/>
          </w:tcPr>
          <w:p w:rsidR="00DD4A1D" w:rsidRDefault="003C107F">
            <w:pPr>
              <w:keepNext/>
              <w:keepLines/>
              <w:spacing w:after="0" w:line="240" w:lineRule="auto"/>
              <w:jc w:val="right"/>
            </w:pPr>
            <w:r>
              <w:rPr>
                <w:sz w:val="18"/>
              </w:rPr>
              <w:t>4.285,66</w:t>
            </w:r>
          </w:p>
        </w:tc>
        <w:tc>
          <w:tcPr>
            <w:tcW w:w="1860" w:type="dxa"/>
            <w:tcMar>
              <w:top w:w="0" w:type="dxa"/>
              <w:bottom w:w="0" w:type="dxa"/>
            </w:tcMar>
            <w:vAlign w:val="center"/>
          </w:tcPr>
          <w:p w:rsidR="00DD4A1D" w:rsidRDefault="003C107F">
            <w:pPr>
              <w:keepNext/>
              <w:keepLines/>
              <w:spacing w:after="0" w:line="240" w:lineRule="auto"/>
              <w:jc w:val="right"/>
            </w:pPr>
            <w:r>
              <w:rPr>
                <w:sz w:val="18"/>
              </w:rPr>
              <w:t>4.441,25</w:t>
            </w:r>
          </w:p>
        </w:tc>
        <w:tc>
          <w:tcPr>
            <w:tcW w:w="700" w:type="dxa"/>
            <w:tcMar>
              <w:top w:w="0" w:type="dxa"/>
              <w:bottom w:w="0" w:type="dxa"/>
            </w:tcMar>
            <w:vAlign w:val="center"/>
          </w:tcPr>
          <w:p w:rsidR="00DD4A1D" w:rsidRDefault="003C107F">
            <w:pPr>
              <w:keepNext/>
              <w:keepLines/>
              <w:spacing w:after="0" w:line="240" w:lineRule="auto"/>
              <w:jc w:val="right"/>
            </w:pPr>
            <w:r>
              <w:rPr>
                <w:sz w:val="18"/>
              </w:rPr>
              <w:t>103,6</w:t>
            </w:r>
          </w:p>
        </w:tc>
      </w:tr>
    </w:tbl>
    <w:p w:rsidR="00DD4A1D" w:rsidRDefault="00DD4A1D">
      <w:pPr>
        <w:spacing w:after="0"/>
      </w:pPr>
    </w:p>
    <w:p w:rsidR="00DD4A1D" w:rsidRDefault="003C107F">
      <w:pPr>
        <w:spacing w:line="240" w:lineRule="auto"/>
        <w:jc w:val="both"/>
      </w:pPr>
      <w:r>
        <w:t xml:space="preserve">Povećanje se odnosi na realizaciju </w:t>
      </w:r>
      <w:proofErr w:type="spellStart"/>
      <w:r>
        <w:t>izvanučioničke</w:t>
      </w:r>
      <w:proofErr w:type="spellEnd"/>
      <w:r>
        <w:t xml:space="preserve"> nastave.</w:t>
      </w:r>
    </w:p>
    <w:p w:rsidR="00DD4A1D" w:rsidRDefault="00DD4A1D"/>
    <w:p w:rsidR="00DD4A1D" w:rsidRDefault="003C107F">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66</w:t>
            </w:r>
          </w:p>
        </w:tc>
        <w:tc>
          <w:tcPr>
            <w:tcW w:w="3180" w:type="dxa"/>
            <w:tcMar>
              <w:top w:w="0" w:type="dxa"/>
              <w:bottom w:w="0" w:type="dxa"/>
            </w:tcMar>
            <w:vAlign w:val="center"/>
          </w:tcPr>
          <w:p w:rsidR="00DD4A1D" w:rsidRDefault="003C107F">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rsidR="00DD4A1D" w:rsidRDefault="003C107F">
            <w:pPr>
              <w:keepNext/>
              <w:keepLines/>
              <w:spacing w:after="0" w:line="240" w:lineRule="auto"/>
            </w:pPr>
            <w:r>
              <w:rPr>
                <w:sz w:val="18"/>
              </w:rPr>
              <w:t>66</w:t>
            </w:r>
          </w:p>
        </w:tc>
        <w:tc>
          <w:tcPr>
            <w:tcW w:w="1860" w:type="dxa"/>
            <w:tcMar>
              <w:top w:w="0" w:type="dxa"/>
              <w:bottom w:w="0" w:type="dxa"/>
            </w:tcMar>
            <w:vAlign w:val="center"/>
          </w:tcPr>
          <w:p w:rsidR="00DD4A1D" w:rsidRDefault="003C107F">
            <w:pPr>
              <w:keepNext/>
              <w:keepLines/>
              <w:spacing w:after="0" w:line="240" w:lineRule="auto"/>
              <w:jc w:val="right"/>
            </w:pPr>
            <w:r>
              <w:rPr>
                <w:sz w:val="18"/>
              </w:rPr>
              <w:t>1.579,14</w:t>
            </w:r>
          </w:p>
        </w:tc>
        <w:tc>
          <w:tcPr>
            <w:tcW w:w="1860" w:type="dxa"/>
            <w:tcMar>
              <w:top w:w="0" w:type="dxa"/>
              <w:bottom w:w="0" w:type="dxa"/>
            </w:tcMar>
            <w:vAlign w:val="center"/>
          </w:tcPr>
          <w:p w:rsidR="00DD4A1D" w:rsidRDefault="003C107F">
            <w:pPr>
              <w:keepNext/>
              <w:keepLines/>
              <w:spacing w:after="0" w:line="240" w:lineRule="auto"/>
              <w:jc w:val="right"/>
            </w:pPr>
            <w:r>
              <w:rPr>
                <w:sz w:val="18"/>
              </w:rPr>
              <w:t>2.064,44</w:t>
            </w:r>
          </w:p>
        </w:tc>
        <w:tc>
          <w:tcPr>
            <w:tcW w:w="700" w:type="dxa"/>
            <w:tcMar>
              <w:top w:w="0" w:type="dxa"/>
              <w:bottom w:w="0" w:type="dxa"/>
            </w:tcMar>
            <w:vAlign w:val="center"/>
          </w:tcPr>
          <w:p w:rsidR="00DD4A1D" w:rsidRDefault="003C107F">
            <w:pPr>
              <w:keepNext/>
              <w:keepLines/>
              <w:spacing w:after="0" w:line="240" w:lineRule="auto"/>
              <w:jc w:val="right"/>
            </w:pPr>
            <w:r>
              <w:rPr>
                <w:sz w:val="18"/>
              </w:rPr>
              <w:t>130,7</w:t>
            </w:r>
          </w:p>
        </w:tc>
      </w:tr>
    </w:tbl>
    <w:p w:rsidR="00DD4A1D" w:rsidRDefault="00DD4A1D">
      <w:pPr>
        <w:spacing w:after="0"/>
      </w:pPr>
    </w:p>
    <w:p w:rsidR="00DD4A1D" w:rsidRDefault="003C107F">
      <w:pPr>
        <w:spacing w:line="240" w:lineRule="auto"/>
        <w:jc w:val="both"/>
      </w:pPr>
      <w:r>
        <w:t xml:space="preserve">Povećanje prihoda se odnosi na veće </w:t>
      </w:r>
      <w:r>
        <w:t>aktivnosti učeničke zadruge (prodajna izložba) , te iznajmljivanje prostora škole.  Vlastite prihode čine prihodi od iznajmljivanja dva stana u vlasništvu škole, prihodi od prodaje proizvoda učeničke zadruge, te iznajmljivanje dvorane i školskog igrališta.</w:t>
      </w:r>
    </w:p>
    <w:p w:rsidR="00DD4A1D" w:rsidRDefault="00DD4A1D"/>
    <w:p w:rsidR="00DD4A1D" w:rsidRDefault="003C107F">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67</w:t>
            </w:r>
          </w:p>
        </w:tc>
        <w:tc>
          <w:tcPr>
            <w:tcW w:w="3180" w:type="dxa"/>
            <w:tcMar>
              <w:top w:w="0" w:type="dxa"/>
              <w:bottom w:w="0" w:type="dxa"/>
            </w:tcMar>
            <w:vAlign w:val="center"/>
          </w:tcPr>
          <w:p w:rsidR="00DD4A1D" w:rsidRDefault="003C107F">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rsidR="00DD4A1D" w:rsidRDefault="003C107F">
            <w:pPr>
              <w:keepNext/>
              <w:keepLines/>
              <w:spacing w:after="0" w:line="240" w:lineRule="auto"/>
            </w:pPr>
            <w:r>
              <w:rPr>
                <w:sz w:val="18"/>
              </w:rPr>
              <w:t>67</w:t>
            </w:r>
          </w:p>
        </w:tc>
        <w:tc>
          <w:tcPr>
            <w:tcW w:w="1860" w:type="dxa"/>
            <w:tcMar>
              <w:top w:w="0" w:type="dxa"/>
              <w:bottom w:w="0" w:type="dxa"/>
            </w:tcMar>
            <w:vAlign w:val="center"/>
          </w:tcPr>
          <w:p w:rsidR="00DD4A1D" w:rsidRDefault="003C107F">
            <w:pPr>
              <w:keepNext/>
              <w:keepLines/>
              <w:spacing w:after="0" w:line="240" w:lineRule="auto"/>
              <w:jc w:val="right"/>
            </w:pPr>
            <w:r>
              <w:rPr>
                <w:sz w:val="18"/>
              </w:rPr>
              <w:t>47.153,33</w:t>
            </w:r>
          </w:p>
        </w:tc>
        <w:tc>
          <w:tcPr>
            <w:tcW w:w="1860" w:type="dxa"/>
            <w:tcMar>
              <w:top w:w="0" w:type="dxa"/>
              <w:bottom w:w="0" w:type="dxa"/>
            </w:tcMar>
            <w:vAlign w:val="center"/>
          </w:tcPr>
          <w:p w:rsidR="00DD4A1D" w:rsidRDefault="003C107F">
            <w:pPr>
              <w:keepNext/>
              <w:keepLines/>
              <w:spacing w:after="0" w:line="240" w:lineRule="auto"/>
              <w:jc w:val="right"/>
            </w:pPr>
            <w:r>
              <w:rPr>
                <w:sz w:val="18"/>
              </w:rPr>
              <w:t>54.883,34</w:t>
            </w:r>
          </w:p>
        </w:tc>
        <w:tc>
          <w:tcPr>
            <w:tcW w:w="700" w:type="dxa"/>
            <w:tcMar>
              <w:top w:w="0" w:type="dxa"/>
              <w:bottom w:w="0" w:type="dxa"/>
            </w:tcMar>
            <w:vAlign w:val="center"/>
          </w:tcPr>
          <w:p w:rsidR="00DD4A1D" w:rsidRDefault="003C107F">
            <w:pPr>
              <w:keepNext/>
              <w:keepLines/>
              <w:spacing w:after="0" w:line="240" w:lineRule="auto"/>
              <w:jc w:val="right"/>
            </w:pPr>
            <w:r>
              <w:rPr>
                <w:sz w:val="18"/>
              </w:rPr>
              <w:t>116,4</w:t>
            </w:r>
          </w:p>
        </w:tc>
      </w:tr>
    </w:tbl>
    <w:p w:rsidR="00DD4A1D" w:rsidRDefault="00DD4A1D">
      <w:pPr>
        <w:spacing w:after="0"/>
      </w:pPr>
    </w:p>
    <w:p w:rsidR="00DD4A1D" w:rsidRDefault="003C107F">
      <w:pPr>
        <w:spacing w:line="240" w:lineRule="auto"/>
        <w:jc w:val="both"/>
      </w:pPr>
      <w:r>
        <w:t xml:space="preserve">Prihode  iz nadležnog proračuna čine  prihodi za materijalno financijske rashode, plaće i naknade pomoćnika u nastavi, E-tehničara, građanskog odgoja, školske sheme i županijskih natjecanja. decentralizirana </w:t>
      </w:r>
      <w:r>
        <w:t xml:space="preserve">sredstva-42.626,88 eura ostala sredstva-                      12.256,46 eura-projekti koji se financiraju iz tih sredstava su na nivou prošle godine osim školske sheme-smanjenje zbog smanjenog                                                                </w:t>
      </w:r>
      <w:r>
        <w:t xml:space="preserve">                        broja učenika  Svi prihodi su provedeni kroz konto troškova.</w:t>
      </w:r>
    </w:p>
    <w:p w:rsidR="00DD4A1D" w:rsidRDefault="00DD4A1D"/>
    <w:p w:rsidR="00DD4A1D" w:rsidRDefault="003C107F">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w:t>
            </w:r>
          </w:p>
        </w:tc>
        <w:tc>
          <w:tcPr>
            <w:tcW w:w="3180" w:type="dxa"/>
            <w:tcMar>
              <w:top w:w="0" w:type="dxa"/>
              <w:bottom w:w="0" w:type="dxa"/>
            </w:tcMar>
            <w:vAlign w:val="center"/>
          </w:tcPr>
          <w:p w:rsidR="00DD4A1D" w:rsidRDefault="003C107F">
            <w:pPr>
              <w:keepNext/>
              <w:keepLines/>
              <w:spacing w:after="0" w:line="240" w:lineRule="auto"/>
            </w:pPr>
            <w:r>
              <w:rPr>
                <w:sz w:val="18"/>
              </w:rPr>
              <w:t>RASHODI POSLOVANJA (šifre 31+32+34+35+36+37+38)</w:t>
            </w:r>
          </w:p>
        </w:tc>
        <w:tc>
          <w:tcPr>
            <w:tcW w:w="700" w:type="dxa"/>
            <w:tcMar>
              <w:top w:w="0" w:type="dxa"/>
              <w:bottom w:w="0" w:type="dxa"/>
            </w:tcMar>
            <w:vAlign w:val="center"/>
          </w:tcPr>
          <w:p w:rsidR="00DD4A1D" w:rsidRDefault="003C107F">
            <w:pPr>
              <w:keepNext/>
              <w:keepLines/>
              <w:spacing w:after="0" w:line="240" w:lineRule="auto"/>
            </w:pPr>
            <w:r>
              <w:rPr>
                <w:sz w:val="18"/>
              </w:rPr>
              <w:t>3</w:t>
            </w:r>
          </w:p>
        </w:tc>
        <w:tc>
          <w:tcPr>
            <w:tcW w:w="1860" w:type="dxa"/>
            <w:tcMar>
              <w:top w:w="0" w:type="dxa"/>
              <w:bottom w:w="0" w:type="dxa"/>
            </w:tcMar>
            <w:vAlign w:val="center"/>
          </w:tcPr>
          <w:p w:rsidR="00DD4A1D" w:rsidRDefault="003C107F">
            <w:pPr>
              <w:keepNext/>
              <w:keepLines/>
              <w:spacing w:after="0" w:line="240" w:lineRule="auto"/>
              <w:jc w:val="right"/>
            </w:pPr>
            <w:r>
              <w:rPr>
                <w:sz w:val="18"/>
              </w:rPr>
              <w:t>612.229,62</w:t>
            </w:r>
          </w:p>
        </w:tc>
        <w:tc>
          <w:tcPr>
            <w:tcW w:w="1860" w:type="dxa"/>
            <w:tcMar>
              <w:top w:w="0" w:type="dxa"/>
              <w:bottom w:w="0" w:type="dxa"/>
            </w:tcMar>
            <w:vAlign w:val="center"/>
          </w:tcPr>
          <w:p w:rsidR="00DD4A1D" w:rsidRDefault="003C107F">
            <w:pPr>
              <w:keepNext/>
              <w:keepLines/>
              <w:spacing w:after="0" w:line="240" w:lineRule="auto"/>
              <w:jc w:val="right"/>
            </w:pPr>
            <w:r>
              <w:rPr>
                <w:sz w:val="18"/>
              </w:rPr>
              <w:t>786.075,63</w:t>
            </w:r>
          </w:p>
        </w:tc>
        <w:tc>
          <w:tcPr>
            <w:tcW w:w="700" w:type="dxa"/>
            <w:tcMar>
              <w:top w:w="0" w:type="dxa"/>
              <w:bottom w:w="0" w:type="dxa"/>
            </w:tcMar>
            <w:vAlign w:val="center"/>
          </w:tcPr>
          <w:p w:rsidR="00DD4A1D" w:rsidRDefault="003C107F">
            <w:pPr>
              <w:keepNext/>
              <w:keepLines/>
              <w:spacing w:after="0" w:line="240" w:lineRule="auto"/>
              <w:jc w:val="right"/>
            </w:pPr>
            <w:r>
              <w:rPr>
                <w:sz w:val="18"/>
              </w:rPr>
              <w:t>128,4</w:t>
            </w:r>
          </w:p>
        </w:tc>
      </w:tr>
    </w:tbl>
    <w:p w:rsidR="00DD4A1D" w:rsidRDefault="00DD4A1D">
      <w:pPr>
        <w:spacing w:after="0"/>
      </w:pPr>
    </w:p>
    <w:p w:rsidR="00DD4A1D" w:rsidRDefault="003C107F">
      <w:pPr>
        <w:spacing w:line="240" w:lineRule="auto"/>
        <w:jc w:val="both"/>
      </w:pPr>
      <w:r>
        <w:t>U odnosu na prethodnu godinu ukupni rashodi poslovanja su povećani za 28,4%.</w:t>
      </w:r>
    </w:p>
    <w:p w:rsidR="00DD4A1D" w:rsidRDefault="00DD4A1D"/>
    <w:p w:rsidR="00DD4A1D" w:rsidRDefault="003C107F">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31</w:t>
            </w:r>
          </w:p>
        </w:tc>
        <w:tc>
          <w:tcPr>
            <w:tcW w:w="3180" w:type="dxa"/>
            <w:tcMar>
              <w:top w:w="0" w:type="dxa"/>
              <w:bottom w:w="0" w:type="dxa"/>
            </w:tcMar>
            <w:vAlign w:val="center"/>
          </w:tcPr>
          <w:p w:rsidR="00DD4A1D" w:rsidRDefault="003C107F">
            <w:pPr>
              <w:keepNext/>
              <w:keepLines/>
              <w:spacing w:after="0" w:line="240" w:lineRule="auto"/>
            </w:pPr>
            <w:r>
              <w:rPr>
                <w:sz w:val="18"/>
              </w:rPr>
              <w:t>Rashodi za zaposlene (šifre 311+312+313)</w:t>
            </w:r>
          </w:p>
        </w:tc>
        <w:tc>
          <w:tcPr>
            <w:tcW w:w="700" w:type="dxa"/>
            <w:tcMar>
              <w:top w:w="0" w:type="dxa"/>
              <w:bottom w:w="0" w:type="dxa"/>
            </w:tcMar>
            <w:vAlign w:val="center"/>
          </w:tcPr>
          <w:p w:rsidR="00DD4A1D" w:rsidRDefault="003C107F">
            <w:pPr>
              <w:keepNext/>
              <w:keepLines/>
              <w:spacing w:after="0" w:line="240" w:lineRule="auto"/>
            </w:pPr>
            <w:r>
              <w:rPr>
                <w:sz w:val="18"/>
              </w:rPr>
              <w:t>31</w:t>
            </w:r>
          </w:p>
        </w:tc>
        <w:tc>
          <w:tcPr>
            <w:tcW w:w="1860" w:type="dxa"/>
            <w:tcMar>
              <w:top w:w="0" w:type="dxa"/>
              <w:bottom w:w="0" w:type="dxa"/>
            </w:tcMar>
            <w:vAlign w:val="center"/>
          </w:tcPr>
          <w:p w:rsidR="00DD4A1D" w:rsidRDefault="003C107F">
            <w:pPr>
              <w:keepNext/>
              <w:keepLines/>
              <w:spacing w:after="0" w:line="240" w:lineRule="auto"/>
              <w:jc w:val="right"/>
            </w:pPr>
            <w:r>
              <w:rPr>
                <w:sz w:val="18"/>
              </w:rPr>
              <w:t>518.269,24</w:t>
            </w:r>
          </w:p>
        </w:tc>
        <w:tc>
          <w:tcPr>
            <w:tcW w:w="1860" w:type="dxa"/>
            <w:tcMar>
              <w:top w:w="0" w:type="dxa"/>
              <w:bottom w:w="0" w:type="dxa"/>
            </w:tcMar>
            <w:vAlign w:val="center"/>
          </w:tcPr>
          <w:p w:rsidR="00DD4A1D" w:rsidRDefault="003C107F">
            <w:pPr>
              <w:keepNext/>
              <w:keepLines/>
              <w:spacing w:after="0" w:line="240" w:lineRule="auto"/>
              <w:jc w:val="right"/>
            </w:pPr>
            <w:r>
              <w:rPr>
                <w:sz w:val="18"/>
              </w:rPr>
              <w:t>679.415,73</w:t>
            </w:r>
          </w:p>
        </w:tc>
        <w:tc>
          <w:tcPr>
            <w:tcW w:w="700" w:type="dxa"/>
            <w:tcMar>
              <w:top w:w="0" w:type="dxa"/>
              <w:bottom w:w="0" w:type="dxa"/>
            </w:tcMar>
            <w:vAlign w:val="center"/>
          </w:tcPr>
          <w:p w:rsidR="00DD4A1D" w:rsidRDefault="003C107F">
            <w:pPr>
              <w:keepNext/>
              <w:keepLines/>
              <w:spacing w:after="0" w:line="240" w:lineRule="auto"/>
              <w:jc w:val="right"/>
            </w:pPr>
            <w:r>
              <w:rPr>
                <w:sz w:val="18"/>
              </w:rPr>
              <w:t>131,1</w:t>
            </w:r>
          </w:p>
        </w:tc>
      </w:tr>
    </w:tbl>
    <w:p w:rsidR="00DD4A1D" w:rsidRDefault="00DD4A1D">
      <w:pPr>
        <w:spacing w:after="0"/>
      </w:pPr>
    </w:p>
    <w:p w:rsidR="00DD4A1D" w:rsidRDefault="003C107F">
      <w:pPr>
        <w:spacing w:line="240" w:lineRule="auto"/>
        <w:jc w:val="both"/>
      </w:pPr>
      <w:r>
        <w:t xml:space="preserve">Najveće povećanje rashoda poslovanja vidljivo je na rashodima za zaposlene i to zbog povećanja osnovice i </w:t>
      </w:r>
      <w:r>
        <w:t>koeficijenata za isplatu plaća, te zbog primjene novog Pravilnika o proračunskom računovodstvu kojim se ukidaju kontinuirani rashodi. Za prvih 6 mjeseci 2025. godine imamo 7 rashoda za plaće zaposlenih.</w:t>
      </w:r>
    </w:p>
    <w:p w:rsidR="00DD4A1D" w:rsidRDefault="00DD4A1D"/>
    <w:p w:rsidR="00DD4A1D" w:rsidRDefault="003C107F">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w:t>
            </w:r>
            <w:r>
              <w:rPr>
                <w:b/>
                <w:sz w:val="18"/>
              </w:rPr>
              <w:t>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3113</w:t>
            </w:r>
          </w:p>
        </w:tc>
        <w:tc>
          <w:tcPr>
            <w:tcW w:w="3180" w:type="dxa"/>
            <w:tcMar>
              <w:top w:w="0" w:type="dxa"/>
              <w:bottom w:w="0" w:type="dxa"/>
            </w:tcMar>
            <w:vAlign w:val="center"/>
          </w:tcPr>
          <w:p w:rsidR="00DD4A1D" w:rsidRDefault="003C107F">
            <w:pPr>
              <w:keepNext/>
              <w:keepLines/>
              <w:spacing w:after="0" w:line="240" w:lineRule="auto"/>
            </w:pPr>
            <w:r>
              <w:rPr>
                <w:sz w:val="18"/>
              </w:rPr>
              <w:t>Plaće za prekovremeni rad</w:t>
            </w:r>
          </w:p>
        </w:tc>
        <w:tc>
          <w:tcPr>
            <w:tcW w:w="700" w:type="dxa"/>
            <w:tcMar>
              <w:top w:w="0" w:type="dxa"/>
              <w:bottom w:w="0" w:type="dxa"/>
            </w:tcMar>
            <w:vAlign w:val="center"/>
          </w:tcPr>
          <w:p w:rsidR="00DD4A1D" w:rsidRDefault="003C107F">
            <w:pPr>
              <w:keepNext/>
              <w:keepLines/>
              <w:spacing w:after="0" w:line="240" w:lineRule="auto"/>
            </w:pPr>
            <w:r>
              <w:rPr>
                <w:sz w:val="18"/>
              </w:rPr>
              <w:t>3113</w:t>
            </w:r>
          </w:p>
        </w:tc>
        <w:tc>
          <w:tcPr>
            <w:tcW w:w="1860" w:type="dxa"/>
            <w:tcMar>
              <w:top w:w="0" w:type="dxa"/>
              <w:bottom w:w="0" w:type="dxa"/>
            </w:tcMar>
            <w:vAlign w:val="center"/>
          </w:tcPr>
          <w:p w:rsidR="00DD4A1D" w:rsidRDefault="003C107F">
            <w:pPr>
              <w:keepNext/>
              <w:keepLines/>
              <w:spacing w:after="0" w:line="240" w:lineRule="auto"/>
              <w:jc w:val="right"/>
            </w:pPr>
            <w:r>
              <w:rPr>
                <w:sz w:val="18"/>
              </w:rPr>
              <w:t>7.005,37</w:t>
            </w:r>
          </w:p>
        </w:tc>
        <w:tc>
          <w:tcPr>
            <w:tcW w:w="1860" w:type="dxa"/>
            <w:tcMar>
              <w:top w:w="0" w:type="dxa"/>
              <w:bottom w:w="0" w:type="dxa"/>
            </w:tcMar>
            <w:vAlign w:val="center"/>
          </w:tcPr>
          <w:p w:rsidR="00DD4A1D" w:rsidRDefault="003C107F">
            <w:pPr>
              <w:keepNext/>
              <w:keepLines/>
              <w:spacing w:after="0" w:line="240" w:lineRule="auto"/>
              <w:jc w:val="right"/>
            </w:pPr>
            <w:r>
              <w:rPr>
                <w:sz w:val="18"/>
              </w:rPr>
              <w:t>18.645,96</w:t>
            </w:r>
          </w:p>
        </w:tc>
        <w:tc>
          <w:tcPr>
            <w:tcW w:w="700" w:type="dxa"/>
            <w:tcMar>
              <w:top w:w="0" w:type="dxa"/>
              <w:bottom w:w="0" w:type="dxa"/>
            </w:tcMar>
            <w:vAlign w:val="center"/>
          </w:tcPr>
          <w:p w:rsidR="00DD4A1D" w:rsidRDefault="003C107F">
            <w:pPr>
              <w:keepNext/>
              <w:keepLines/>
              <w:spacing w:after="0" w:line="240" w:lineRule="auto"/>
              <w:jc w:val="right"/>
            </w:pPr>
            <w:r>
              <w:rPr>
                <w:sz w:val="18"/>
              </w:rPr>
              <w:t>266,2</w:t>
            </w:r>
          </w:p>
        </w:tc>
      </w:tr>
    </w:tbl>
    <w:p w:rsidR="00DD4A1D" w:rsidRDefault="00DD4A1D">
      <w:pPr>
        <w:spacing w:after="0"/>
      </w:pPr>
    </w:p>
    <w:p w:rsidR="00DD4A1D" w:rsidRDefault="003C107F">
      <w:pPr>
        <w:spacing w:line="240" w:lineRule="auto"/>
        <w:jc w:val="both"/>
      </w:pPr>
      <w:r>
        <w:t xml:space="preserve">Povećanje u odnosu na prethodnu godinu zbog povećanja broja bolovanja, te </w:t>
      </w:r>
      <w:r>
        <w:t>odobrenja  prekovremenog rada za provođenje pripremne nastave hrvatskog jezika za učenika koji ima pravo školovanja u RH.</w:t>
      </w:r>
    </w:p>
    <w:p w:rsidR="00DD4A1D" w:rsidRDefault="00DD4A1D"/>
    <w:p w:rsidR="00DD4A1D" w:rsidRDefault="003C107F">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izvještajnom </w:t>
            </w:r>
            <w:r>
              <w:rPr>
                <w:b/>
                <w:sz w:val="18"/>
              </w:rPr>
              <w:t>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3114</w:t>
            </w:r>
          </w:p>
        </w:tc>
        <w:tc>
          <w:tcPr>
            <w:tcW w:w="3180" w:type="dxa"/>
            <w:tcMar>
              <w:top w:w="0" w:type="dxa"/>
              <w:bottom w:w="0" w:type="dxa"/>
            </w:tcMar>
            <w:vAlign w:val="center"/>
          </w:tcPr>
          <w:p w:rsidR="00DD4A1D" w:rsidRDefault="003C107F">
            <w:pPr>
              <w:keepNext/>
              <w:keepLines/>
              <w:spacing w:after="0" w:line="240" w:lineRule="auto"/>
            </w:pPr>
            <w:r>
              <w:rPr>
                <w:sz w:val="18"/>
              </w:rPr>
              <w:t>Plaće za posebne uvjete rada</w:t>
            </w:r>
          </w:p>
        </w:tc>
        <w:tc>
          <w:tcPr>
            <w:tcW w:w="700" w:type="dxa"/>
            <w:tcMar>
              <w:top w:w="0" w:type="dxa"/>
              <w:bottom w:w="0" w:type="dxa"/>
            </w:tcMar>
            <w:vAlign w:val="center"/>
          </w:tcPr>
          <w:p w:rsidR="00DD4A1D" w:rsidRDefault="003C107F">
            <w:pPr>
              <w:keepNext/>
              <w:keepLines/>
              <w:spacing w:after="0" w:line="240" w:lineRule="auto"/>
            </w:pPr>
            <w:r>
              <w:rPr>
                <w:sz w:val="18"/>
              </w:rPr>
              <w:t>3114</w:t>
            </w:r>
          </w:p>
        </w:tc>
        <w:tc>
          <w:tcPr>
            <w:tcW w:w="1860" w:type="dxa"/>
            <w:tcMar>
              <w:top w:w="0" w:type="dxa"/>
              <w:bottom w:w="0" w:type="dxa"/>
            </w:tcMar>
            <w:vAlign w:val="center"/>
          </w:tcPr>
          <w:p w:rsidR="00DD4A1D" w:rsidRDefault="003C107F">
            <w:pPr>
              <w:keepNext/>
              <w:keepLines/>
              <w:spacing w:after="0" w:line="240" w:lineRule="auto"/>
              <w:jc w:val="right"/>
            </w:pPr>
            <w:r>
              <w:rPr>
                <w:sz w:val="18"/>
              </w:rPr>
              <w:t>1.794,00</w:t>
            </w:r>
          </w:p>
        </w:tc>
        <w:tc>
          <w:tcPr>
            <w:tcW w:w="1860" w:type="dxa"/>
            <w:tcMar>
              <w:top w:w="0" w:type="dxa"/>
              <w:bottom w:w="0" w:type="dxa"/>
            </w:tcMar>
            <w:vAlign w:val="center"/>
          </w:tcPr>
          <w:p w:rsidR="00DD4A1D" w:rsidRDefault="003C107F">
            <w:pPr>
              <w:keepNext/>
              <w:keepLines/>
              <w:spacing w:after="0" w:line="240" w:lineRule="auto"/>
              <w:jc w:val="right"/>
            </w:pPr>
            <w:r>
              <w:rPr>
                <w:sz w:val="18"/>
              </w:rPr>
              <w:t>2.619,66</w:t>
            </w:r>
          </w:p>
        </w:tc>
        <w:tc>
          <w:tcPr>
            <w:tcW w:w="700" w:type="dxa"/>
            <w:tcMar>
              <w:top w:w="0" w:type="dxa"/>
              <w:bottom w:w="0" w:type="dxa"/>
            </w:tcMar>
            <w:vAlign w:val="center"/>
          </w:tcPr>
          <w:p w:rsidR="00DD4A1D" w:rsidRDefault="003C107F">
            <w:pPr>
              <w:keepNext/>
              <w:keepLines/>
              <w:spacing w:after="0" w:line="240" w:lineRule="auto"/>
              <w:jc w:val="right"/>
            </w:pPr>
            <w:r>
              <w:rPr>
                <w:sz w:val="18"/>
              </w:rPr>
              <w:t>146,0</w:t>
            </w:r>
          </w:p>
        </w:tc>
      </w:tr>
    </w:tbl>
    <w:p w:rsidR="00DD4A1D" w:rsidRDefault="00DD4A1D">
      <w:pPr>
        <w:spacing w:after="0"/>
      </w:pPr>
    </w:p>
    <w:p w:rsidR="00DD4A1D" w:rsidRDefault="003C107F">
      <w:pPr>
        <w:spacing w:line="240" w:lineRule="auto"/>
        <w:jc w:val="both"/>
      </w:pPr>
      <w:r>
        <w:t>Povećanje broja učenika koji nastavu prate po prilagođenom programu.</w:t>
      </w:r>
    </w:p>
    <w:p w:rsidR="00DD4A1D" w:rsidRDefault="00DD4A1D"/>
    <w:p w:rsidR="00DD4A1D" w:rsidRDefault="003C107F">
      <w:pPr>
        <w:keepNext/>
        <w:spacing w:line="240" w:lineRule="auto"/>
        <w:jc w:val="center"/>
      </w:pPr>
      <w:r>
        <w:rPr>
          <w:sz w:val="28"/>
        </w:rPr>
        <w:lastRenderedPageBreak/>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w:t>
            </w:r>
            <w:r>
              <w:rPr>
                <w:b/>
                <w:sz w:val="18"/>
              </w:rPr>
              <w:t xml:space="preserve">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w:t>
            </w:r>
          </w:p>
        </w:tc>
        <w:tc>
          <w:tcPr>
            <w:tcW w:w="3180" w:type="dxa"/>
            <w:tcMar>
              <w:top w:w="0" w:type="dxa"/>
              <w:bottom w:w="0" w:type="dxa"/>
            </w:tcMar>
            <w:vAlign w:val="center"/>
          </w:tcPr>
          <w:p w:rsidR="00DD4A1D" w:rsidRDefault="003C107F">
            <w:pPr>
              <w:keepNext/>
              <w:keepLines/>
              <w:spacing w:after="0" w:line="240" w:lineRule="auto"/>
            </w:pPr>
            <w:r>
              <w:rPr>
                <w:sz w:val="18"/>
              </w:rPr>
              <w:t>Materijalni rashodi (šifre 321+322+323+324+325+329)</w:t>
            </w:r>
          </w:p>
        </w:tc>
        <w:tc>
          <w:tcPr>
            <w:tcW w:w="700" w:type="dxa"/>
            <w:tcMar>
              <w:top w:w="0" w:type="dxa"/>
              <w:bottom w:w="0" w:type="dxa"/>
            </w:tcMar>
            <w:vAlign w:val="center"/>
          </w:tcPr>
          <w:p w:rsidR="00DD4A1D" w:rsidRDefault="003C107F">
            <w:pPr>
              <w:keepNext/>
              <w:keepLines/>
              <w:spacing w:after="0" w:line="240" w:lineRule="auto"/>
            </w:pPr>
            <w:r>
              <w:rPr>
                <w:sz w:val="18"/>
              </w:rPr>
              <w:t>32</w:t>
            </w:r>
          </w:p>
        </w:tc>
        <w:tc>
          <w:tcPr>
            <w:tcW w:w="1860" w:type="dxa"/>
            <w:tcMar>
              <w:top w:w="0" w:type="dxa"/>
              <w:bottom w:w="0" w:type="dxa"/>
            </w:tcMar>
            <w:vAlign w:val="center"/>
          </w:tcPr>
          <w:p w:rsidR="00DD4A1D" w:rsidRDefault="003C107F">
            <w:pPr>
              <w:keepNext/>
              <w:keepLines/>
              <w:spacing w:after="0" w:line="240" w:lineRule="auto"/>
              <w:jc w:val="right"/>
            </w:pPr>
            <w:r>
              <w:rPr>
                <w:sz w:val="18"/>
              </w:rPr>
              <w:t>93.071,26</w:t>
            </w:r>
          </w:p>
        </w:tc>
        <w:tc>
          <w:tcPr>
            <w:tcW w:w="1860" w:type="dxa"/>
            <w:tcMar>
              <w:top w:w="0" w:type="dxa"/>
              <w:bottom w:w="0" w:type="dxa"/>
            </w:tcMar>
            <w:vAlign w:val="center"/>
          </w:tcPr>
          <w:p w:rsidR="00DD4A1D" w:rsidRDefault="003C107F">
            <w:pPr>
              <w:keepNext/>
              <w:keepLines/>
              <w:spacing w:after="0" w:line="240" w:lineRule="auto"/>
              <w:jc w:val="right"/>
            </w:pPr>
            <w:r>
              <w:rPr>
                <w:sz w:val="18"/>
              </w:rPr>
              <w:t>104.928,06</w:t>
            </w:r>
          </w:p>
        </w:tc>
        <w:tc>
          <w:tcPr>
            <w:tcW w:w="700" w:type="dxa"/>
            <w:tcMar>
              <w:top w:w="0" w:type="dxa"/>
              <w:bottom w:w="0" w:type="dxa"/>
            </w:tcMar>
            <w:vAlign w:val="center"/>
          </w:tcPr>
          <w:p w:rsidR="00DD4A1D" w:rsidRDefault="003C107F">
            <w:pPr>
              <w:keepNext/>
              <w:keepLines/>
              <w:spacing w:after="0" w:line="240" w:lineRule="auto"/>
              <w:jc w:val="right"/>
            </w:pPr>
            <w:r>
              <w:rPr>
                <w:sz w:val="18"/>
              </w:rPr>
              <w:t>112,7</w:t>
            </w:r>
          </w:p>
        </w:tc>
      </w:tr>
    </w:tbl>
    <w:p w:rsidR="00DD4A1D" w:rsidRDefault="00DD4A1D">
      <w:pPr>
        <w:spacing w:after="0"/>
      </w:pPr>
    </w:p>
    <w:p w:rsidR="00DD4A1D" w:rsidRDefault="003C107F">
      <w:pPr>
        <w:spacing w:line="240" w:lineRule="auto"/>
        <w:jc w:val="both"/>
      </w:pPr>
      <w:r>
        <w:t>U odnosu na isto razdoblje prethodne godine materijalni rashodi su povećani za 12,7%.</w:t>
      </w:r>
    </w:p>
    <w:p w:rsidR="00DD4A1D" w:rsidRDefault="00DD4A1D"/>
    <w:p w:rsidR="00DD4A1D" w:rsidRDefault="003C107F">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321</w:t>
            </w:r>
          </w:p>
        </w:tc>
        <w:tc>
          <w:tcPr>
            <w:tcW w:w="3180" w:type="dxa"/>
            <w:tcMar>
              <w:top w:w="0" w:type="dxa"/>
              <w:bottom w:w="0" w:type="dxa"/>
            </w:tcMar>
            <w:vAlign w:val="center"/>
          </w:tcPr>
          <w:p w:rsidR="00DD4A1D" w:rsidRDefault="003C107F">
            <w:pPr>
              <w:keepNext/>
              <w:keepLines/>
              <w:spacing w:after="0" w:line="240" w:lineRule="auto"/>
            </w:pPr>
            <w:r>
              <w:rPr>
                <w:sz w:val="18"/>
              </w:rPr>
              <w:t>Naknade troškova zaposlenima (šifre 3211 do 3214)</w:t>
            </w:r>
          </w:p>
        </w:tc>
        <w:tc>
          <w:tcPr>
            <w:tcW w:w="700" w:type="dxa"/>
            <w:tcMar>
              <w:top w:w="0" w:type="dxa"/>
              <w:bottom w:w="0" w:type="dxa"/>
            </w:tcMar>
            <w:vAlign w:val="center"/>
          </w:tcPr>
          <w:p w:rsidR="00DD4A1D" w:rsidRDefault="003C107F">
            <w:pPr>
              <w:keepNext/>
              <w:keepLines/>
              <w:spacing w:after="0" w:line="240" w:lineRule="auto"/>
            </w:pPr>
            <w:r>
              <w:rPr>
                <w:sz w:val="18"/>
              </w:rPr>
              <w:t>321</w:t>
            </w:r>
          </w:p>
        </w:tc>
        <w:tc>
          <w:tcPr>
            <w:tcW w:w="1860" w:type="dxa"/>
            <w:tcMar>
              <w:top w:w="0" w:type="dxa"/>
              <w:bottom w:w="0" w:type="dxa"/>
            </w:tcMar>
            <w:vAlign w:val="center"/>
          </w:tcPr>
          <w:p w:rsidR="00DD4A1D" w:rsidRDefault="003C107F">
            <w:pPr>
              <w:keepNext/>
              <w:keepLines/>
              <w:spacing w:after="0" w:line="240" w:lineRule="auto"/>
              <w:jc w:val="right"/>
            </w:pPr>
            <w:r>
              <w:rPr>
                <w:sz w:val="18"/>
              </w:rPr>
              <w:t>23.564,68</w:t>
            </w:r>
          </w:p>
        </w:tc>
        <w:tc>
          <w:tcPr>
            <w:tcW w:w="1860" w:type="dxa"/>
            <w:tcMar>
              <w:top w:w="0" w:type="dxa"/>
              <w:bottom w:w="0" w:type="dxa"/>
            </w:tcMar>
            <w:vAlign w:val="center"/>
          </w:tcPr>
          <w:p w:rsidR="00DD4A1D" w:rsidRDefault="003C107F">
            <w:pPr>
              <w:keepNext/>
              <w:keepLines/>
              <w:spacing w:after="0" w:line="240" w:lineRule="auto"/>
              <w:jc w:val="right"/>
            </w:pPr>
            <w:r>
              <w:rPr>
                <w:sz w:val="18"/>
              </w:rPr>
              <w:t>28.037,96</w:t>
            </w:r>
          </w:p>
        </w:tc>
        <w:tc>
          <w:tcPr>
            <w:tcW w:w="700" w:type="dxa"/>
            <w:tcMar>
              <w:top w:w="0" w:type="dxa"/>
              <w:bottom w:w="0" w:type="dxa"/>
            </w:tcMar>
            <w:vAlign w:val="center"/>
          </w:tcPr>
          <w:p w:rsidR="00DD4A1D" w:rsidRDefault="003C107F">
            <w:pPr>
              <w:keepNext/>
              <w:keepLines/>
              <w:spacing w:after="0" w:line="240" w:lineRule="auto"/>
              <w:jc w:val="right"/>
            </w:pPr>
            <w:r>
              <w:rPr>
                <w:sz w:val="18"/>
              </w:rPr>
              <w:t>119,0</w:t>
            </w:r>
          </w:p>
        </w:tc>
      </w:tr>
    </w:tbl>
    <w:p w:rsidR="00DD4A1D" w:rsidRDefault="00DD4A1D">
      <w:pPr>
        <w:spacing w:after="0"/>
      </w:pPr>
    </w:p>
    <w:p w:rsidR="00DD4A1D" w:rsidRDefault="003C107F">
      <w:pPr>
        <w:spacing w:line="240" w:lineRule="auto"/>
        <w:jc w:val="both"/>
      </w:pPr>
      <w:r>
        <w:t xml:space="preserve">U </w:t>
      </w:r>
      <w:r>
        <w:t>odnosu na isto razdoblje prethodne godine povećanje za 19,0%.</w:t>
      </w:r>
    </w:p>
    <w:p w:rsidR="00DD4A1D" w:rsidRDefault="00DD4A1D"/>
    <w:p w:rsidR="00DD4A1D" w:rsidRDefault="003C107F">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3211</w:t>
            </w:r>
          </w:p>
        </w:tc>
        <w:tc>
          <w:tcPr>
            <w:tcW w:w="3180" w:type="dxa"/>
            <w:tcMar>
              <w:top w:w="0" w:type="dxa"/>
              <w:bottom w:w="0" w:type="dxa"/>
            </w:tcMar>
            <w:vAlign w:val="center"/>
          </w:tcPr>
          <w:p w:rsidR="00DD4A1D" w:rsidRDefault="003C107F">
            <w:pPr>
              <w:keepNext/>
              <w:keepLines/>
              <w:spacing w:after="0" w:line="240" w:lineRule="auto"/>
            </w:pPr>
            <w:r>
              <w:rPr>
                <w:sz w:val="18"/>
              </w:rPr>
              <w:t>Službena putovanja</w:t>
            </w:r>
          </w:p>
        </w:tc>
        <w:tc>
          <w:tcPr>
            <w:tcW w:w="700" w:type="dxa"/>
            <w:tcMar>
              <w:top w:w="0" w:type="dxa"/>
              <w:bottom w:w="0" w:type="dxa"/>
            </w:tcMar>
            <w:vAlign w:val="center"/>
          </w:tcPr>
          <w:p w:rsidR="00DD4A1D" w:rsidRDefault="003C107F">
            <w:pPr>
              <w:keepNext/>
              <w:keepLines/>
              <w:spacing w:after="0" w:line="240" w:lineRule="auto"/>
            </w:pPr>
            <w:r>
              <w:rPr>
                <w:sz w:val="18"/>
              </w:rPr>
              <w:t>3211</w:t>
            </w:r>
          </w:p>
        </w:tc>
        <w:tc>
          <w:tcPr>
            <w:tcW w:w="1860" w:type="dxa"/>
            <w:tcMar>
              <w:top w:w="0" w:type="dxa"/>
              <w:bottom w:w="0" w:type="dxa"/>
            </w:tcMar>
            <w:vAlign w:val="center"/>
          </w:tcPr>
          <w:p w:rsidR="00DD4A1D" w:rsidRDefault="003C107F">
            <w:pPr>
              <w:keepNext/>
              <w:keepLines/>
              <w:spacing w:after="0" w:line="240" w:lineRule="auto"/>
              <w:jc w:val="right"/>
            </w:pPr>
            <w:r>
              <w:rPr>
                <w:sz w:val="18"/>
              </w:rPr>
              <w:t>1.800,54</w:t>
            </w:r>
          </w:p>
        </w:tc>
        <w:tc>
          <w:tcPr>
            <w:tcW w:w="1860" w:type="dxa"/>
            <w:tcMar>
              <w:top w:w="0" w:type="dxa"/>
              <w:bottom w:w="0" w:type="dxa"/>
            </w:tcMar>
            <w:vAlign w:val="center"/>
          </w:tcPr>
          <w:p w:rsidR="00DD4A1D" w:rsidRDefault="003C107F">
            <w:pPr>
              <w:keepNext/>
              <w:keepLines/>
              <w:spacing w:after="0" w:line="240" w:lineRule="auto"/>
              <w:jc w:val="right"/>
            </w:pPr>
            <w:r>
              <w:rPr>
                <w:sz w:val="18"/>
              </w:rPr>
              <w:t>3.193,77</w:t>
            </w:r>
          </w:p>
        </w:tc>
        <w:tc>
          <w:tcPr>
            <w:tcW w:w="700" w:type="dxa"/>
            <w:tcMar>
              <w:top w:w="0" w:type="dxa"/>
              <w:bottom w:w="0" w:type="dxa"/>
            </w:tcMar>
            <w:vAlign w:val="center"/>
          </w:tcPr>
          <w:p w:rsidR="00DD4A1D" w:rsidRDefault="003C107F">
            <w:pPr>
              <w:keepNext/>
              <w:keepLines/>
              <w:spacing w:after="0" w:line="240" w:lineRule="auto"/>
              <w:jc w:val="right"/>
            </w:pPr>
            <w:r>
              <w:rPr>
                <w:sz w:val="18"/>
              </w:rPr>
              <w:t>177,4</w:t>
            </w:r>
          </w:p>
        </w:tc>
      </w:tr>
    </w:tbl>
    <w:p w:rsidR="00DD4A1D" w:rsidRDefault="00DD4A1D">
      <w:pPr>
        <w:spacing w:after="0"/>
      </w:pPr>
    </w:p>
    <w:p w:rsidR="00DD4A1D" w:rsidRDefault="003C107F">
      <w:pPr>
        <w:spacing w:line="240" w:lineRule="auto"/>
        <w:jc w:val="both"/>
      </w:pPr>
      <w:r>
        <w:t xml:space="preserve">Povećanje troškova za stručno usavršavanje radnika, te realizacija </w:t>
      </w:r>
      <w:proofErr w:type="spellStart"/>
      <w:r>
        <w:t>izvanučioničke</w:t>
      </w:r>
      <w:proofErr w:type="spellEnd"/>
      <w:r>
        <w:t xml:space="preserve"> nastave od V _ VIII razreda MŠ i PŠ u inozemstvu.</w:t>
      </w:r>
    </w:p>
    <w:p w:rsidR="00DD4A1D" w:rsidRDefault="00DD4A1D"/>
    <w:p w:rsidR="00DD4A1D" w:rsidRDefault="003C107F">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3212</w:t>
            </w:r>
          </w:p>
        </w:tc>
        <w:tc>
          <w:tcPr>
            <w:tcW w:w="3180" w:type="dxa"/>
            <w:tcMar>
              <w:top w:w="0" w:type="dxa"/>
              <w:bottom w:w="0" w:type="dxa"/>
            </w:tcMar>
            <w:vAlign w:val="center"/>
          </w:tcPr>
          <w:p w:rsidR="00DD4A1D" w:rsidRDefault="003C107F">
            <w:pPr>
              <w:keepNext/>
              <w:keepLines/>
              <w:spacing w:after="0" w:line="240" w:lineRule="auto"/>
            </w:pPr>
            <w:r>
              <w:rPr>
                <w:sz w:val="18"/>
              </w:rPr>
              <w:t>Naknade za prijevoz, za rad na terenu i odvojeni život</w:t>
            </w:r>
          </w:p>
        </w:tc>
        <w:tc>
          <w:tcPr>
            <w:tcW w:w="700" w:type="dxa"/>
            <w:tcMar>
              <w:top w:w="0" w:type="dxa"/>
              <w:bottom w:w="0" w:type="dxa"/>
            </w:tcMar>
            <w:vAlign w:val="center"/>
          </w:tcPr>
          <w:p w:rsidR="00DD4A1D" w:rsidRDefault="003C107F">
            <w:pPr>
              <w:keepNext/>
              <w:keepLines/>
              <w:spacing w:after="0" w:line="240" w:lineRule="auto"/>
            </w:pPr>
            <w:r>
              <w:rPr>
                <w:sz w:val="18"/>
              </w:rPr>
              <w:t>3212</w:t>
            </w:r>
          </w:p>
        </w:tc>
        <w:tc>
          <w:tcPr>
            <w:tcW w:w="1860" w:type="dxa"/>
            <w:tcMar>
              <w:top w:w="0" w:type="dxa"/>
              <w:bottom w:w="0" w:type="dxa"/>
            </w:tcMar>
            <w:vAlign w:val="center"/>
          </w:tcPr>
          <w:p w:rsidR="00DD4A1D" w:rsidRDefault="003C107F">
            <w:pPr>
              <w:keepNext/>
              <w:keepLines/>
              <w:spacing w:after="0" w:line="240" w:lineRule="auto"/>
              <w:jc w:val="right"/>
            </w:pPr>
            <w:r>
              <w:rPr>
                <w:sz w:val="18"/>
              </w:rPr>
              <w:t>21.301,14</w:t>
            </w:r>
          </w:p>
        </w:tc>
        <w:tc>
          <w:tcPr>
            <w:tcW w:w="1860" w:type="dxa"/>
            <w:tcMar>
              <w:top w:w="0" w:type="dxa"/>
              <w:bottom w:w="0" w:type="dxa"/>
            </w:tcMar>
            <w:vAlign w:val="center"/>
          </w:tcPr>
          <w:p w:rsidR="00DD4A1D" w:rsidRDefault="003C107F">
            <w:pPr>
              <w:keepNext/>
              <w:keepLines/>
              <w:spacing w:after="0" w:line="240" w:lineRule="auto"/>
              <w:jc w:val="right"/>
            </w:pPr>
            <w:r>
              <w:rPr>
                <w:sz w:val="18"/>
              </w:rPr>
              <w:t>24.169,69</w:t>
            </w:r>
          </w:p>
        </w:tc>
        <w:tc>
          <w:tcPr>
            <w:tcW w:w="700" w:type="dxa"/>
            <w:tcMar>
              <w:top w:w="0" w:type="dxa"/>
              <w:bottom w:w="0" w:type="dxa"/>
            </w:tcMar>
            <w:vAlign w:val="center"/>
          </w:tcPr>
          <w:p w:rsidR="00DD4A1D" w:rsidRDefault="003C107F">
            <w:pPr>
              <w:keepNext/>
              <w:keepLines/>
              <w:spacing w:after="0" w:line="240" w:lineRule="auto"/>
              <w:jc w:val="right"/>
            </w:pPr>
            <w:r>
              <w:rPr>
                <w:sz w:val="18"/>
              </w:rPr>
              <w:t>113,5</w:t>
            </w:r>
          </w:p>
        </w:tc>
      </w:tr>
    </w:tbl>
    <w:p w:rsidR="00DD4A1D" w:rsidRDefault="00DD4A1D">
      <w:pPr>
        <w:spacing w:after="0"/>
      </w:pPr>
    </w:p>
    <w:p w:rsidR="00DD4A1D" w:rsidRDefault="003C107F">
      <w:pPr>
        <w:spacing w:line="240" w:lineRule="auto"/>
        <w:jc w:val="both"/>
      </w:pPr>
      <w:r>
        <w:t xml:space="preserve">Povećanje u odnosu na prethodnu godinu-zapošljavanje novih djelatnika zbog zamjena za </w:t>
      </w:r>
      <w:r>
        <w:t>bolovanje(veće udaljenosti putovanja na posao).</w:t>
      </w:r>
    </w:p>
    <w:p w:rsidR="00DD4A1D" w:rsidRDefault="00DD4A1D"/>
    <w:p w:rsidR="00DD4A1D" w:rsidRDefault="003C107F">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3221</w:t>
            </w:r>
          </w:p>
        </w:tc>
        <w:tc>
          <w:tcPr>
            <w:tcW w:w="3180" w:type="dxa"/>
            <w:tcMar>
              <w:top w:w="0" w:type="dxa"/>
              <w:bottom w:w="0" w:type="dxa"/>
            </w:tcMar>
            <w:vAlign w:val="center"/>
          </w:tcPr>
          <w:p w:rsidR="00DD4A1D" w:rsidRDefault="003C107F">
            <w:pPr>
              <w:keepNext/>
              <w:keepLines/>
              <w:spacing w:after="0" w:line="240" w:lineRule="auto"/>
            </w:pPr>
            <w:r>
              <w:rPr>
                <w:sz w:val="18"/>
              </w:rPr>
              <w:t>Uredski materijal i ostali materijalni</w:t>
            </w:r>
            <w:r>
              <w:rPr>
                <w:sz w:val="18"/>
              </w:rPr>
              <w:t xml:space="preserve"> rashodi</w:t>
            </w:r>
          </w:p>
        </w:tc>
        <w:tc>
          <w:tcPr>
            <w:tcW w:w="700" w:type="dxa"/>
            <w:tcMar>
              <w:top w:w="0" w:type="dxa"/>
              <w:bottom w:w="0" w:type="dxa"/>
            </w:tcMar>
            <w:vAlign w:val="center"/>
          </w:tcPr>
          <w:p w:rsidR="00DD4A1D" w:rsidRDefault="003C107F">
            <w:pPr>
              <w:keepNext/>
              <w:keepLines/>
              <w:spacing w:after="0" w:line="240" w:lineRule="auto"/>
            </w:pPr>
            <w:r>
              <w:rPr>
                <w:sz w:val="18"/>
              </w:rPr>
              <w:t>3221</w:t>
            </w:r>
          </w:p>
        </w:tc>
        <w:tc>
          <w:tcPr>
            <w:tcW w:w="1860" w:type="dxa"/>
            <w:tcMar>
              <w:top w:w="0" w:type="dxa"/>
              <w:bottom w:w="0" w:type="dxa"/>
            </w:tcMar>
            <w:vAlign w:val="center"/>
          </w:tcPr>
          <w:p w:rsidR="00DD4A1D" w:rsidRDefault="003C107F">
            <w:pPr>
              <w:keepNext/>
              <w:keepLines/>
              <w:spacing w:after="0" w:line="240" w:lineRule="auto"/>
              <w:jc w:val="right"/>
            </w:pPr>
            <w:r>
              <w:rPr>
                <w:sz w:val="18"/>
              </w:rPr>
              <w:t>3.816,09</w:t>
            </w:r>
          </w:p>
        </w:tc>
        <w:tc>
          <w:tcPr>
            <w:tcW w:w="1860" w:type="dxa"/>
            <w:tcMar>
              <w:top w:w="0" w:type="dxa"/>
              <w:bottom w:w="0" w:type="dxa"/>
            </w:tcMar>
            <w:vAlign w:val="center"/>
          </w:tcPr>
          <w:p w:rsidR="00DD4A1D" w:rsidRDefault="003C107F">
            <w:pPr>
              <w:keepNext/>
              <w:keepLines/>
              <w:spacing w:after="0" w:line="240" w:lineRule="auto"/>
              <w:jc w:val="right"/>
            </w:pPr>
            <w:r>
              <w:rPr>
                <w:sz w:val="18"/>
              </w:rPr>
              <w:t>5.385,80</w:t>
            </w:r>
          </w:p>
        </w:tc>
        <w:tc>
          <w:tcPr>
            <w:tcW w:w="700" w:type="dxa"/>
            <w:tcMar>
              <w:top w:w="0" w:type="dxa"/>
              <w:bottom w:w="0" w:type="dxa"/>
            </w:tcMar>
            <w:vAlign w:val="center"/>
          </w:tcPr>
          <w:p w:rsidR="00DD4A1D" w:rsidRDefault="003C107F">
            <w:pPr>
              <w:keepNext/>
              <w:keepLines/>
              <w:spacing w:after="0" w:line="240" w:lineRule="auto"/>
              <w:jc w:val="right"/>
            </w:pPr>
            <w:r>
              <w:rPr>
                <w:sz w:val="18"/>
              </w:rPr>
              <w:t>141,1</w:t>
            </w:r>
          </w:p>
        </w:tc>
      </w:tr>
    </w:tbl>
    <w:p w:rsidR="00DD4A1D" w:rsidRDefault="00DD4A1D">
      <w:pPr>
        <w:spacing w:after="0"/>
      </w:pPr>
    </w:p>
    <w:p w:rsidR="00DD4A1D" w:rsidRDefault="003C107F">
      <w:pPr>
        <w:spacing w:line="240" w:lineRule="auto"/>
        <w:jc w:val="both"/>
      </w:pPr>
      <w:r>
        <w:t>U odnosu na isto razdoblje prethodne godine povećanje zbog povećanja cijena materijala, te povećane aktivnosti nabave materijala za nastavu i zadrugu.</w:t>
      </w:r>
    </w:p>
    <w:p w:rsidR="00DD4A1D" w:rsidRDefault="00DD4A1D"/>
    <w:p w:rsidR="00DD4A1D" w:rsidRDefault="003C107F">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3222</w:t>
            </w:r>
          </w:p>
        </w:tc>
        <w:tc>
          <w:tcPr>
            <w:tcW w:w="3180" w:type="dxa"/>
            <w:tcMar>
              <w:top w:w="0" w:type="dxa"/>
              <w:bottom w:w="0" w:type="dxa"/>
            </w:tcMar>
            <w:vAlign w:val="center"/>
          </w:tcPr>
          <w:p w:rsidR="00DD4A1D" w:rsidRDefault="003C107F">
            <w:pPr>
              <w:keepNext/>
              <w:keepLines/>
              <w:spacing w:after="0" w:line="240" w:lineRule="auto"/>
            </w:pPr>
            <w:r>
              <w:rPr>
                <w:sz w:val="18"/>
              </w:rPr>
              <w:t>Materijal i sirovine</w:t>
            </w:r>
          </w:p>
        </w:tc>
        <w:tc>
          <w:tcPr>
            <w:tcW w:w="700" w:type="dxa"/>
            <w:tcMar>
              <w:top w:w="0" w:type="dxa"/>
              <w:bottom w:w="0" w:type="dxa"/>
            </w:tcMar>
            <w:vAlign w:val="center"/>
          </w:tcPr>
          <w:p w:rsidR="00DD4A1D" w:rsidRDefault="003C107F">
            <w:pPr>
              <w:keepNext/>
              <w:keepLines/>
              <w:spacing w:after="0" w:line="240" w:lineRule="auto"/>
            </w:pPr>
            <w:r>
              <w:rPr>
                <w:sz w:val="18"/>
              </w:rPr>
              <w:t>3222</w:t>
            </w:r>
          </w:p>
        </w:tc>
        <w:tc>
          <w:tcPr>
            <w:tcW w:w="1860" w:type="dxa"/>
            <w:tcMar>
              <w:top w:w="0" w:type="dxa"/>
              <w:bottom w:w="0" w:type="dxa"/>
            </w:tcMar>
            <w:vAlign w:val="center"/>
          </w:tcPr>
          <w:p w:rsidR="00DD4A1D" w:rsidRDefault="003C107F">
            <w:pPr>
              <w:keepNext/>
              <w:keepLines/>
              <w:spacing w:after="0" w:line="240" w:lineRule="auto"/>
              <w:jc w:val="right"/>
            </w:pPr>
            <w:r>
              <w:rPr>
                <w:sz w:val="18"/>
              </w:rPr>
              <w:t>28.257,86</w:t>
            </w:r>
          </w:p>
        </w:tc>
        <w:tc>
          <w:tcPr>
            <w:tcW w:w="1860" w:type="dxa"/>
            <w:tcMar>
              <w:top w:w="0" w:type="dxa"/>
              <w:bottom w:w="0" w:type="dxa"/>
            </w:tcMar>
            <w:vAlign w:val="center"/>
          </w:tcPr>
          <w:p w:rsidR="00DD4A1D" w:rsidRDefault="003C107F">
            <w:pPr>
              <w:keepNext/>
              <w:keepLines/>
              <w:spacing w:after="0" w:line="240" w:lineRule="auto"/>
              <w:jc w:val="right"/>
            </w:pPr>
            <w:r>
              <w:rPr>
                <w:sz w:val="18"/>
              </w:rPr>
              <w:t>26.046,01</w:t>
            </w:r>
          </w:p>
        </w:tc>
        <w:tc>
          <w:tcPr>
            <w:tcW w:w="700" w:type="dxa"/>
            <w:tcMar>
              <w:top w:w="0" w:type="dxa"/>
              <w:bottom w:w="0" w:type="dxa"/>
            </w:tcMar>
            <w:vAlign w:val="center"/>
          </w:tcPr>
          <w:p w:rsidR="00DD4A1D" w:rsidRDefault="003C107F">
            <w:pPr>
              <w:keepNext/>
              <w:keepLines/>
              <w:spacing w:after="0" w:line="240" w:lineRule="auto"/>
              <w:jc w:val="right"/>
            </w:pPr>
            <w:r>
              <w:rPr>
                <w:sz w:val="18"/>
              </w:rPr>
              <w:t>92,2</w:t>
            </w:r>
          </w:p>
        </w:tc>
      </w:tr>
    </w:tbl>
    <w:p w:rsidR="00DD4A1D" w:rsidRDefault="00DD4A1D">
      <w:pPr>
        <w:spacing w:after="0"/>
      </w:pPr>
    </w:p>
    <w:p w:rsidR="00DD4A1D" w:rsidRDefault="003C107F">
      <w:pPr>
        <w:spacing w:line="240" w:lineRule="auto"/>
        <w:jc w:val="both"/>
      </w:pPr>
      <w:r>
        <w:t xml:space="preserve">U odnosu na isto razdoblje prethodne godine smanjenje zbog smanjenog broja učenika. Navedeni </w:t>
      </w:r>
      <w:r>
        <w:t>troškovi se odnose na besplatnu školsku prehranu koja se financira po učeniku.</w:t>
      </w:r>
    </w:p>
    <w:p w:rsidR="00DD4A1D" w:rsidRDefault="00DD4A1D"/>
    <w:p w:rsidR="00DD4A1D" w:rsidRDefault="003C107F">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3223</w:t>
            </w:r>
          </w:p>
        </w:tc>
        <w:tc>
          <w:tcPr>
            <w:tcW w:w="3180" w:type="dxa"/>
            <w:tcMar>
              <w:top w:w="0" w:type="dxa"/>
              <w:bottom w:w="0" w:type="dxa"/>
            </w:tcMar>
            <w:vAlign w:val="center"/>
          </w:tcPr>
          <w:p w:rsidR="00DD4A1D" w:rsidRDefault="003C107F">
            <w:pPr>
              <w:keepNext/>
              <w:keepLines/>
              <w:spacing w:after="0" w:line="240" w:lineRule="auto"/>
            </w:pPr>
            <w:r>
              <w:rPr>
                <w:sz w:val="18"/>
              </w:rPr>
              <w:t>Energija</w:t>
            </w:r>
          </w:p>
        </w:tc>
        <w:tc>
          <w:tcPr>
            <w:tcW w:w="700" w:type="dxa"/>
            <w:tcMar>
              <w:top w:w="0" w:type="dxa"/>
              <w:bottom w:w="0" w:type="dxa"/>
            </w:tcMar>
            <w:vAlign w:val="center"/>
          </w:tcPr>
          <w:p w:rsidR="00DD4A1D" w:rsidRDefault="003C107F">
            <w:pPr>
              <w:keepNext/>
              <w:keepLines/>
              <w:spacing w:after="0" w:line="240" w:lineRule="auto"/>
            </w:pPr>
            <w:r>
              <w:rPr>
                <w:sz w:val="18"/>
              </w:rPr>
              <w:t>3223</w:t>
            </w:r>
          </w:p>
        </w:tc>
        <w:tc>
          <w:tcPr>
            <w:tcW w:w="1860" w:type="dxa"/>
            <w:tcMar>
              <w:top w:w="0" w:type="dxa"/>
              <w:bottom w:w="0" w:type="dxa"/>
            </w:tcMar>
            <w:vAlign w:val="center"/>
          </w:tcPr>
          <w:p w:rsidR="00DD4A1D" w:rsidRDefault="003C107F">
            <w:pPr>
              <w:keepNext/>
              <w:keepLines/>
              <w:spacing w:after="0" w:line="240" w:lineRule="auto"/>
              <w:jc w:val="right"/>
            </w:pPr>
            <w:r>
              <w:rPr>
                <w:sz w:val="18"/>
              </w:rPr>
              <w:t>22.834,43</w:t>
            </w:r>
          </w:p>
        </w:tc>
        <w:tc>
          <w:tcPr>
            <w:tcW w:w="1860" w:type="dxa"/>
            <w:tcMar>
              <w:top w:w="0" w:type="dxa"/>
              <w:bottom w:w="0" w:type="dxa"/>
            </w:tcMar>
            <w:vAlign w:val="center"/>
          </w:tcPr>
          <w:p w:rsidR="00DD4A1D" w:rsidRDefault="003C107F">
            <w:pPr>
              <w:keepNext/>
              <w:keepLines/>
              <w:spacing w:after="0" w:line="240" w:lineRule="auto"/>
              <w:jc w:val="right"/>
            </w:pPr>
            <w:r>
              <w:rPr>
                <w:sz w:val="18"/>
              </w:rPr>
              <w:t>25.289,56</w:t>
            </w:r>
          </w:p>
        </w:tc>
        <w:tc>
          <w:tcPr>
            <w:tcW w:w="700" w:type="dxa"/>
            <w:tcMar>
              <w:top w:w="0" w:type="dxa"/>
              <w:bottom w:w="0" w:type="dxa"/>
            </w:tcMar>
            <w:vAlign w:val="center"/>
          </w:tcPr>
          <w:p w:rsidR="00DD4A1D" w:rsidRDefault="003C107F">
            <w:pPr>
              <w:keepNext/>
              <w:keepLines/>
              <w:spacing w:after="0" w:line="240" w:lineRule="auto"/>
              <w:jc w:val="right"/>
            </w:pPr>
            <w:r>
              <w:rPr>
                <w:sz w:val="18"/>
              </w:rPr>
              <w:t>110,8</w:t>
            </w:r>
          </w:p>
        </w:tc>
      </w:tr>
    </w:tbl>
    <w:p w:rsidR="00DD4A1D" w:rsidRDefault="00DD4A1D">
      <w:pPr>
        <w:spacing w:after="0"/>
      </w:pPr>
    </w:p>
    <w:p w:rsidR="00DD4A1D" w:rsidRDefault="003C107F">
      <w:pPr>
        <w:spacing w:line="240" w:lineRule="auto"/>
        <w:jc w:val="both"/>
      </w:pPr>
      <w:r>
        <w:t>U odnosu na isto razdoblje prethodne godine povećanje zbog produljene grijaće sezone, te ukidanja kontinuiranih rashoda.</w:t>
      </w:r>
    </w:p>
    <w:p w:rsidR="00DD4A1D" w:rsidRDefault="00DD4A1D"/>
    <w:p w:rsidR="00DD4A1D" w:rsidRDefault="003C107F">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izvještajnom razdoblju </w:t>
            </w:r>
            <w:r>
              <w:rPr>
                <w:b/>
                <w:sz w:val="18"/>
              </w:rPr>
              <w:t>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3224</w:t>
            </w:r>
          </w:p>
        </w:tc>
        <w:tc>
          <w:tcPr>
            <w:tcW w:w="3180" w:type="dxa"/>
            <w:tcMar>
              <w:top w:w="0" w:type="dxa"/>
              <w:bottom w:w="0" w:type="dxa"/>
            </w:tcMar>
            <w:vAlign w:val="center"/>
          </w:tcPr>
          <w:p w:rsidR="00DD4A1D" w:rsidRDefault="003C107F">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rsidR="00DD4A1D" w:rsidRDefault="003C107F">
            <w:pPr>
              <w:keepNext/>
              <w:keepLines/>
              <w:spacing w:after="0" w:line="240" w:lineRule="auto"/>
            </w:pPr>
            <w:r>
              <w:rPr>
                <w:sz w:val="18"/>
              </w:rPr>
              <w:t>3224</w:t>
            </w:r>
          </w:p>
        </w:tc>
        <w:tc>
          <w:tcPr>
            <w:tcW w:w="1860" w:type="dxa"/>
            <w:tcMar>
              <w:top w:w="0" w:type="dxa"/>
              <w:bottom w:w="0" w:type="dxa"/>
            </w:tcMar>
            <w:vAlign w:val="center"/>
          </w:tcPr>
          <w:p w:rsidR="00DD4A1D" w:rsidRDefault="003C107F">
            <w:pPr>
              <w:keepNext/>
              <w:keepLines/>
              <w:spacing w:after="0" w:line="240" w:lineRule="auto"/>
              <w:jc w:val="right"/>
            </w:pPr>
            <w:r>
              <w:rPr>
                <w:sz w:val="18"/>
              </w:rPr>
              <w:t>581,41</w:t>
            </w:r>
          </w:p>
        </w:tc>
        <w:tc>
          <w:tcPr>
            <w:tcW w:w="1860" w:type="dxa"/>
            <w:tcMar>
              <w:top w:w="0" w:type="dxa"/>
              <w:bottom w:w="0" w:type="dxa"/>
            </w:tcMar>
            <w:vAlign w:val="center"/>
          </w:tcPr>
          <w:p w:rsidR="00DD4A1D" w:rsidRDefault="003C107F">
            <w:pPr>
              <w:keepNext/>
              <w:keepLines/>
              <w:spacing w:after="0" w:line="240" w:lineRule="auto"/>
              <w:jc w:val="right"/>
            </w:pPr>
            <w:r>
              <w:rPr>
                <w:sz w:val="18"/>
              </w:rPr>
              <w:t>1.164,98</w:t>
            </w:r>
          </w:p>
        </w:tc>
        <w:tc>
          <w:tcPr>
            <w:tcW w:w="700" w:type="dxa"/>
            <w:tcMar>
              <w:top w:w="0" w:type="dxa"/>
              <w:bottom w:w="0" w:type="dxa"/>
            </w:tcMar>
            <w:vAlign w:val="center"/>
          </w:tcPr>
          <w:p w:rsidR="00DD4A1D" w:rsidRDefault="003C107F">
            <w:pPr>
              <w:keepNext/>
              <w:keepLines/>
              <w:spacing w:after="0" w:line="240" w:lineRule="auto"/>
              <w:jc w:val="right"/>
            </w:pPr>
            <w:r>
              <w:rPr>
                <w:sz w:val="18"/>
              </w:rPr>
              <w:t>200,4</w:t>
            </w:r>
          </w:p>
        </w:tc>
      </w:tr>
    </w:tbl>
    <w:p w:rsidR="00DD4A1D" w:rsidRDefault="00DD4A1D">
      <w:pPr>
        <w:spacing w:after="0"/>
      </w:pPr>
    </w:p>
    <w:p w:rsidR="00DD4A1D" w:rsidRDefault="003C107F">
      <w:pPr>
        <w:spacing w:line="240" w:lineRule="auto"/>
        <w:jc w:val="both"/>
      </w:pPr>
      <w:r>
        <w:t>U odnosu na isto razdoblje prethodne godine povećanje zbog povećanog opsega popravaka.</w:t>
      </w:r>
    </w:p>
    <w:p w:rsidR="00DD4A1D" w:rsidRDefault="00DD4A1D"/>
    <w:p w:rsidR="00DD4A1D" w:rsidRDefault="003C107F">
      <w:pPr>
        <w:keepNext/>
        <w:spacing w:line="240" w:lineRule="auto"/>
        <w:jc w:val="center"/>
      </w:pPr>
      <w:r>
        <w:rPr>
          <w:sz w:val="28"/>
        </w:rPr>
        <w:lastRenderedPageBreak/>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3225</w:t>
            </w:r>
          </w:p>
        </w:tc>
        <w:tc>
          <w:tcPr>
            <w:tcW w:w="3180" w:type="dxa"/>
            <w:tcMar>
              <w:top w:w="0" w:type="dxa"/>
              <w:bottom w:w="0" w:type="dxa"/>
            </w:tcMar>
            <w:vAlign w:val="center"/>
          </w:tcPr>
          <w:p w:rsidR="00DD4A1D" w:rsidRDefault="003C107F">
            <w:pPr>
              <w:keepNext/>
              <w:keepLines/>
              <w:spacing w:after="0" w:line="240" w:lineRule="auto"/>
            </w:pPr>
            <w:r>
              <w:rPr>
                <w:sz w:val="18"/>
              </w:rPr>
              <w:t xml:space="preserve">Sitni inventar i </w:t>
            </w:r>
            <w:proofErr w:type="spellStart"/>
            <w:r>
              <w:rPr>
                <w:sz w:val="18"/>
              </w:rPr>
              <w:t>autogume</w:t>
            </w:r>
            <w:proofErr w:type="spellEnd"/>
          </w:p>
        </w:tc>
        <w:tc>
          <w:tcPr>
            <w:tcW w:w="700" w:type="dxa"/>
            <w:tcMar>
              <w:top w:w="0" w:type="dxa"/>
              <w:bottom w:w="0" w:type="dxa"/>
            </w:tcMar>
            <w:vAlign w:val="center"/>
          </w:tcPr>
          <w:p w:rsidR="00DD4A1D" w:rsidRDefault="003C107F">
            <w:pPr>
              <w:keepNext/>
              <w:keepLines/>
              <w:spacing w:after="0" w:line="240" w:lineRule="auto"/>
            </w:pPr>
            <w:r>
              <w:rPr>
                <w:sz w:val="18"/>
              </w:rPr>
              <w:t>3225</w:t>
            </w:r>
          </w:p>
        </w:tc>
        <w:tc>
          <w:tcPr>
            <w:tcW w:w="1860" w:type="dxa"/>
            <w:tcMar>
              <w:top w:w="0" w:type="dxa"/>
              <w:bottom w:w="0" w:type="dxa"/>
            </w:tcMar>
            <w:vAlign w:val="center"/>
          </w:tcPr>
          <w:p w:rsidR="00DD4A1D" w:rsidRDefault="003C107F">
            <w:pPr>
              <w:keepNext/>
              <w:keepLines/>
              <w:spacing w:after="0" w:line="240" w:lineRule="auto"/>
              <w:jc w:val="right"/>
            </w:pPr>
            <w:r>
              <w:rPr>
                <w:sz w:val="18"/>
              </w:rPr>
              <w:t>139,96</w:t>
            </w:r>
          </w:p>
        </w:tc>
        <w:tc>
          <w:tcPr>
            <w:tcW w:w="1860" w:type="dxa"/>
            <w:tcMar>
              <w:top w:w="0" w:type="dxa"/>
              <w:bottom w:w="0" w:type="dxa"/>
            </w:tcMar>
            <w:vAlign w:val="center"/>
          </w:tcPr>
          <w:p w:rsidR="00DD4A1D" w:rsidRDefault="003C107F">
            <w:pPr>
              <w:keepNext/>
              <w:keepLines/>
              <w:spacing w:after="0" w:line="240" w:lineRule="auto"/>
              <w:jc w:val="right"/>
            </w:pPr>
            <w:r>
              <w:rPr>
                <w:sz w:val="18"/>
              </w:rPr>
              <w:t>572,38</w:t>
            </w:r>
          </w:p>
        </w:tc>
        <w:tc>
          <w:tcPr>
            <w:tcW w:w="700" w:type="dxa"/>
            <w:tcMar>
              <w:top w:w="0" w:type="dxa"/>
              <w:bottom w:w="0" w:type="dxa"/>
            </w:tcMar>
            <w:vAlign w:val="center"/>
          </w:tcPr>
          <w:p w:rsidR="00DD4A1D" w:rsidRDefault="003C107F">
            <w:pPr>
              <w:keepNext/>
              <w:keepLines/>
              <w:spacing w:after="0" w:line="240" w:lineRule="auto"/>
              <w:jc w:val="right"/>
            </w:pPr>
            <w:r>
              <w:rPr>
                <w:sz w:val="18"/>
              </w:rPr>
              <w:t>409,0</w:t>
            </w:r>
          </w:p>
        </w:tc>
      </w:tr>
    </w:tbl>
    <w:p w:rsidR="00DD4A1D" w:rsidRDefault="00DD4A1D">
      <w:pPr>
        <w:spacing w:after="0"/>
      </w:pPr>
    </w:p>
    <w:p w:rsidR="00DD4A1D" w:rsidRDefault="003C107F">
      <w:pPr>
        <w:spacing w:line="240" w:lineRule="auto"/>
        <w:jc w:val="both"/>
      </w:pPr>
      <w:r>
        <w:t xml:space="preserve">U odnosu na isto razdoblje </w:t>
      </w:r>
      <w:r>
        <w:t>prethodne godine povećanje-nabava podložaka za vježbanje u školskoj športskoj dvorani.</w:t>
      </w:r>
    </w:p>
    <w:p w:rsidR="00DD4A1D" w:rsidRDefault="00DD4A1D"/>
    <w:p w:rsidR="00DD4A1D" w:rsidRDefault="003C107F">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3227</w:t>
            </w:r>
          </w:p>
        </w:tc>
        <w:tc>
          <w:tcPr>
            <w:tcW w:w="3180" w:type="dxa"/>
            <w:tcMar>
              <w:top w:w="0" w:type="dxa"/>
              <w:bottom w:w="0" w:type="dxa"/>
            </w:tcMar>
            <w:vAlign w:val="center"/>
          </w:tcPr>
          <w:p w:rsidR="00DD4A1D" w:rsidRDefault="003C107F">
            <w:pPr>
              <w:keepNext/>
              <w:keepLines/>
              <w:spacing w:after="0" w:line="240" w:lineRule="auto"/>
            </w:pPr>
            <w:r>
              <w:rPr>
                <w:sz w:val="18"/>
              </w:rPr>
              <w:t>Službena, radna i zaštitna odjeća i obuća</w:t>
            </w:r>
          </w:p>
        </w:tc>
        <w:tc>
          <w:tcPr>
            <w:tcW w:w="700" w:type="dxa"/>
            <w:tcMar>
              <w:top w:w="0" w:type="dxa"/>
              <w:bottom w:w="0" w:type="dxa"/>
            </w:tcMar>
            <w:vAlign w:val="center"/>
          </w:tcPr>
          <w:p w:rsidR="00DD4A1D" w:rsidRDefault="003C107F">
            <w:pPr>
              <w:keepNext/>
              <w:keepLines/>
              <w:spacing w:after="0" w:line="240" w:lineRule="auto"/>
            </w:pPr>
            <w:r>
              <w:rPr>
                <w:sz w:val="18"/>
              </w:rPr>
              <w:t>3227</w:t>
            </w:r>
          </w:p>
        </w:tc>
        <w:tc>
          <w:tcPr>
            <w:tcW w:w="1860" w:type="dxa"/>
            <w:tcMar>
              <w:top w:w="0" w:type="dxa"/>
              <w:bottom w:w="0" w:type="dxa"/>
            </w:tcMar>
            <w:vAlign w:val="center"/>
          </w:tcPr>
          <w:p w:rsidR="00DD4A1D" w:rsidRDefault="003C107F">
            <w:pPr>
              <w:keepNext/>
              <w:keepLines/>
              <w:spacing w:after="0" w:line="240" w:lineRule="auto"/>
              <w:jc w:val="right"/>
            </w:pPr>
            <w:r>
              <w:rPr>
                <w:sz w:val="18"/>
              </w:rPr>
              <w:t>111,00</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700" w:type="dxa"/>
            <w:tcMar>
              <w:top w:w="0" w:type="dxa"/>
              <w:bottom w:w="0" w:type="dxa"/>
            </w:tcMar>
            <w:vAlign w:val="center"/>
          </w:tcPr>
          <w:p w:rsidR="00DD4A1D" w:rsidRDefault="003C107F">
            <w:pPr>
              <w:keepNext/>
              <w:keepLines/>
              <w:spacing w:after="0" w:line="240" w:lineRule="auto"/>
              <w:jc w:val="right"/>
            </w:pPr>
            <w:r>
              <w:rPr>
                <w:sz w:val="18"/>
              </w:rPr>
              <w:t>0</w:t>
            </w:r>
          </w:p>
        </w:tc>
      </w:tr>
    </w:tbl>
    <w:p w:rsidR="00DD4A1D" w:rsidRDefault="00DD4A1D">
      <w:pPr>
        <w:spacing w:after="0"/>
      </w:pPr>
    </w:p>
    <w:p w:rsidR="00DD4A1D" w:rsidRDefault="003C107F">
      <w:pPr>
        <w:spacing w:line="240" w:lineRule="auto"/>
        <w:jc w:val="both"/>
      </w:pPr>
      <w:r>
        <w:t>Nije bilo nabave radne odjeće i obuće.</w:t>
      </w:r>
    </w:p>
    <w:p w:rsidR="00DD4A1D" w:rsidRDefault="00DD4A1D"/>
    <w:p w:rsidR="00DD4A1D" w:rsidRDefault="003C107F">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323</w:t>
            </w:r>
          </w:p>
        </w:tc>
        <w:tc>
          <w:tcPr>
            <w:tcW w:w="3180" w:type="dxa"/>
            <w:tcMar>
              <w:top w:w="0" w:type="dxa"/>
              <w:bottom w:w="0" w:type="dxa"/>
            </w:tcMar>
            <w:vAlign w:val="center"/>
          </w:tcPr>
          <w:p w:rsidR="00DD4A1D" w:rsidRDefault="003C107F">
            <w:pPr>
              <w:keepNext/>
              <w:keepLines/>
              <w:spacing w:after="0" w:line="240" w:lineRule="auto"/>
            </w:pPr>
            <w:r>
              <w:rPr>
                <w:sz w:val="18"/>
              </w:rPr>
              <w:t>Rashodi za usluge (šifre 3231 do 3239)</w:t>
            </w:r>
          </w:p>
        </w:tc>
        <w:tc>
          <w:tcPr>
            <w:tcW w:w="700" w:type="dxa"/>
            <w:tcMar>
              <w:top w:w="0" w:type="dxa"/>
              <w:bottom w:w="0" w:type="dxa"/>
            </w:tcMar>
            <w:vAlign w:val="center"/>
          </w:tcPr>
          <w:p w:rsidR="00DD4A1D" w:rsidRDefault="003C107F">
            <w:pPr>
              <w:keepNext/>
              <w:keepLines/>
              <w:spacing w:after="0" w:line="240" w:lineRule="auto"/>
            </w:pPr>
            <w:r>
              <w:rPr>
                <w:sz w:val="18"/>
              </w:rPr>
              <w:t>323</w:t>
            </w:r>
          </w:p>
        </w:tc>
        <w:tc>
          <w:tcPr>
            <w:tcW w:w="1860" w:type="dxa"/>
            <w:tcMar>
              <w:top w:w="0" w:type="dxa"/>
              <w:bottom w:w="0" w:type="dxa"/>
            </w:tcMar>
            <w:vAlign w:val="center"/>
          </w:tcPr>
          <w:p w:rsidR="00DD4A1D" w:rsidRDefault="003C107F">
            <w:pPr>
              <w:keepNext/>
              <w:keepLines/>
              <w:spacing w:after="0" w:line="240" w:lineRule="auto"/>
              <w:jc w:val="right"/>
            </w:pPr>
            <w:r>
              <w:rPr>
                <w:sz w:val="18"/>
              </w:rPr>
              <w:t>11.749,21</w:t>
            </w:r>
          </w:p>
        </w:tc>
        <w:tc>
          <w:tcPr>
            <w:tcW w:w="1860" w:type="dxa"/>
            <w:tcMar>
              <w:top w:w="0" w:type="dxa"/>
              <w:bottom w:w="0" w:type="dxa"/>
            </w:tcMar>
            <w:vAlign w:val="center"/>
          </w:tcPr>
          <w:p w:rsidR="00DD4A1D" w:rsidRDefault="003C107F">
            <w:pPr>
              <w:keepNext/>
              <w:keepLines/>
              <w:spacing w:after="0" w:line="240" w:lineRule="auto"/>
              <w:jc w:val="right"/>
            </w:pPr>
            <w:r>
              <w:rPr>
                <w:sz w:val="18"/>
              </w:rPr>
              <w:t>16.166,22</w:t>
            </w:r>
          </w:p>
        </w:tc>
        <w:tc>
          <w:tcPr>
            <w:tcW w:w="700" w:type="dxa"/>
            <w:tcMar>
              <w:top w:w="0" w:type="dxa"/>
              <w:bottom w:w="0" w:type="dxa"/>
            </w:tcMar>
            <w:vAlign w:val="center"/>
          </w:tcPr>
          <w:p w:rsidR="00DD4A1D" w:rsidRDefault="003C107F">
            <w:pPr>
              <w:keepNext/>
              <w:keepLines/>
              <w:spacing w:after="0" w:line="240" w:lineRule="auto"/>
              <w:jc w:val="right"/>
            </w:pPr>
            <w:r>
              <w:rPr>
                <w:sz w:val="18"/>
              </w:rPr>
              <w:t>137,6</w:t>
            </w:r>
          </w:p>
        </w:tc>
      </w:tr>
    </w:tbl>
    <w:p w:rsidR="00DD4A1D" w:rsidRDefault="00DD4A1D">
      <w:pPr>
        <w:spacing w:after="0"/>
      </w:pPr>
    </w:p>
    <w:p w:rsidR="00DD4A1D" w:rsidRDefault="003C107F">
      <w:pPr>
        <w:spacing w:line="240" w:lineRule="auto"/>
        <w:jc w:val="both"/>
      </w:pPr>
      <w:r>
        <w:t>U odnosu na isto razdoblje prethodne godine povećanje za 37,6%.</w:t>
      </w:r>
    </w:p>
    <w:p w:rsidR="00DD4A1D" w:rsidRDefault="00DD4A1D"/>
    <w:p w:rsidR="00DD4A1D" w:rsidRDefault="003C107F">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3231</w:t>
            </w:r>
          </w:p>
        </w:tc>
        <w:tc>
          <w:tcPr>
            <w:tcW w:w="3180" w:type="dxa"/>
            <w:tcMar>
              <w:top w:w="0" w:type="dxa"/>
              <w:bottom w:w="0" w:type="dxa"/>
            </w:tcMar>
            <w:vAlign w:val="center"/>
          </w:tcPr>
          <w:p w:rsidR="00DD4A1D" w:rsidRDefault="003C107F">
            <w:pPr>
              <w:keepNext/>
              <w:keepLines/>
              <w:spacing w:after="0" w:line="240" w:lineRule="auto"/>
            </w:pPr>
            <w:r>
              <w:rPr>
                <w:sz w:val="18"/>
              </w:rPr>
              <w:t>Usluge telefona, interneta, pošte i prijevoza</w:t>
            </w:r>
          </w:p>
        </w:tc>
        <w:tc>
          <w:tcPr>
            <w:tcW w:w="700" w:type="dxa"/>
            <w:tcMar>
              <w:top w:w="0" w:type="dxa"/>
              <w:bottom w:w="0" w:type="dxa"/>
            </w:tcMar>
            <w:vAlign w:val="center"/>
          </w:tcPr>
          <w:p w:rsidR="00DD4A1D" w:rsidRDefault="003C107F">
            <w:pPr>
              <w:keepNext/>
              <w:keepLines/>
              <w:spacing w:after="0" w:line="240" w:lineRule="auto"/>
            </w:pPr>
            <w:r>
              <w:rPr>
                <w:sz w:val="18"/>
              </w:rPr>
              <w:t>3231</w:t>
            </w:r>
          </w:p>
        </w:tc>
        <w:tc>
          <w:tcPr>
            <w:tcW w:w="1860" w:type="dxa"/>
            <w:tcMar>
              <w:top w:w="0" w:type="dxa"/>
              <w:bottom w:w="0" w:type="dxa"/>
            </w:tcMar>
            <w:vAlign w:val="center"/>
          </w:tcPr>
          <w:p w:rsidR="00DD4A1D" w:rsidRDefault="003C107F">
            <w:pPr>
              <w:keepNext/>
              <w:keepLines/>
              <w:spacing w:after="0" w:line="240" w:lineRule="auto"/>
              <w:jc w:val="right"/>
            </w:pPr>
            <w:r>
              <w:rPr>
                <w:sz w:val="18"/>
              </w:rPr>
              <w:t>1.293,39</w:t>
            </w:r>
          </w:p>
        </w:tc>
        <w:tc>
          <w:tcPr>
            <w:tcW w:w="1860" w:type="dxa"/>
            <w:tcMar>
              <w:top w:w="0" w:type="dxa"/>
              <w:bottom w:w="0" w:type="dxa"/>
            </w:tcMar>
            <w:vAlign w:val="center"/>
          </w:tcPr>
          <w:p w:rsidR="00DD4A1D" w:rsidRDefault="003C107F">
            <w:pPr>
              <w:keepNext/>
              <w:keepLines/>
              <w:spacing w:after="0" w:line="240" w:lineRule="auto"/>
              <w:jc w:val="right"/>
            </w:pPr>
            <w:r>
              <w:rPr>
                <w:sz w:val="18"/>
              </w:rPr>
              <w:t>1.791,22</w:t>
            </w:r>
          </w:p>
        </w:tc>
        <w:tc>
          <w:tcPr>
            <w:tcW w:w="700" w:type="dxa"/>
            <w:tcMar>
              <w:top w:w="0" w:type="dxa"/>
              <w:bottom w:w="0" w:type="dxa"/>
            </w:tcMar>
            <w:vAlign w:val="center"/>
          </w:tcPr>
          <w:p w:rsidR="00DD4A1D" w:rsidRDefault="003C107F">
            <w:pPr>
              <w:keepNext/>
              <w:keepLines/>
              <w:spacing w:after="0" w:line="240" w:lineRule="auto"/>
              <w:jc w:val="right"/>
            </w:pPr>
            <w:r>
              <w:rPr>
                <w:sz w:val="18"/>
              </w:rPr>
              <w:t>138,5</w:t>
            </w:r>
          </w:p>
        </w:tc>
      </w:tr>
    </w:tbl>
    <w:p w:rsidR="00DD4A1D" w:rsidRDefault="00DD4A1D">
      <w:pPr>
        <w:spacing w:after="0"/>
      </w:pPr>
    </w:p>
    <w:p w:rsidR="00DD4A1D" w:rsidRDefault="003C107F">
      <w:pPr>
        <w:spacing w:line="240" w:lineRule="auto"/>
        <w:jc w:val="both"/>
      </w:pPr>
      <w:r>
        <w:t>Povećanje zbog povećanih aktivnosti učenika-prijevoz JUMICAR  i MAT FEST.</w:t>
      </w:r>
    </w:p>
    <w:p w:rsidR="00DD4A1D" w:rsidRDefault="00DD4A1D"/>
    <w:p w:rsidR="00DD4A1D" w:rsidRDefault="003C107F">
      <w:pPr>
        <w:keepNext/>
        <w:spacing w:line="240" w:lineRule="auto"/>
        <w:jc w:val="center"/>
      </w:pPr>
      <w:r>
        <w:rPr>
          <w:sz w:val="28"/>
        </w:rPr>
        <w:lastRenderedPageBreak/>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Opis </w:t>
            </w:r>
            <w:r>
              <w:rPr>
                <w:b/>
                <w:sz w:val="18"/>
              </w:rPr>
              <w:t>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3232</w:t>
            </w:r>
          </w:p>
        </w:tc>
        <w:tc>
          <w:tcPr>
            <w:tcW w:w="3180" w:type="dxa"/>
            <w:tcMar>
              <w:top w:w="0" w:type="dxa"/>
              <w:bottom w:w="0" w:type="dxa"/>
            </w:tcMar>
            <w:vAlign w:val="center"/>
          </w:tcPr>
          <w:p w:rsidR="00DD4A1D" w:rsidRDefault="003C107F">
            <w:pPr>
              <w:keepNext/>
              <w:keepLines/>
              <w:spacing w:after="0" w:line="240" w:lineRule="auto"/>
            </w:pPr>
            <w:r>
              <w:rPr>
                <w:sz w:val="18"/>
              </w:rPr>
              <w:t>Usluge tekućeg i investicijskog održavanja</w:t>
            </w:r>
          </w:p>
        </w:tc>
        <w:tc>
          <w:tcPr>
            <w:tcW w:w="700" w:type="dxa"/>
            <w:tcMar>
              <w:top w:w="0" w:type="dxa"/>
              <w:bottom w:w="0" w:type="dxa"/>
            </w:tcMar>
            <w:vAlign w:val="center"/>
          </w:tcPr>
          <w:p w:rsidR="00DD4A1D" w:rsidRDefault="003C107F">
            <w:pPr>
              <w:keepNext/>
              <w:keepLines/>
              <w:spacing w:after="0" w:line="240" w:lineRule="auto"/>
            </w:pPr>
            <w:r>
              <w:rPr>
                <w:sz w:val="18"/>
              </w:rPr>
              <w:t>3232</w:t>
            </w:r>
          </w:p>
        </w:tc>
        <w:tc>
          <w:tcPr>
            <w:tcW w:w="1860" w:type="dxa"/>
            <w:tcMar>
              <w:top w:w="0" w:type="dxa"/>
              <w:bottom w:w="0" w:type="dxa"/>
            </w:tcMar>
            <w:vAlign w:val="center"/>
          </w:tcPr>
          <w:p w:rsidR="00DD4A1D" w:rsidRDefault="003C107F">
            <w:pPr>
              <w:keepNext/>
              <w:keepLines/>
              <w:spacing w:after="0" w:line="240" w:lineRule="auto"/>
              <w:jc w:val="right"/>
            </w:pPr>
            <w:r>
              <w:rPr>
                <w:sz w:val="18"/>
              </w:rPr>
              <w:t>3.347,56</w:t>
            </w:r>
          </w:p>
        </w:tc>
        <w:tc>
          <w:tcPr>
            <w:tcW w:w="1860" w:type="dxa"/>
            <w:tcMar>
              <w:top w:w="0" w:type="dxa"/>
              <w:bottom w:w="0" w:type="dxa"/>
            </w:tcMar>
            <w:vAlign w:val="center"/>
          </w:tcPr>
          <w:p w:rsidR="00DD4A1D" w:rsidRDefault="003C107F">
            <w:pPr>
              <w:keepNext/>
              <w:keepLines/>
              <w:spacing w:after="0" w:line="240" w:lineRule="auto"/>
              <w:jc w:val="right"/>
            </w:pPr>
            <w:r>
              <w:rPr>
                <w:sz w:val="18"/>
              </w:rPr>
              <w:t>4.218,11</w:t>
            </w:r>
          </w:p>
        </w:tc>
        <w:tc>
          <w:tcPr>
            <w:tcW w:w="700" w:type="dxa"/>
            <w:tcMar>
              <w:top w:w="0" w:type="dxa"/>
              <w:bottom w:w="0" w:type="dxa"/>
            </w:tcMar>
            <w:vAlign w:val="center"/>
          </w:tcPr>
          <w:p w:rsidR="00DD4A1D" w:rsidRDefault="003C107F">
            <w:pPr>
              <w:keepNext/>
              <w:keepLines/>
              <w:spacing w:after="0" w:line="240" w:lineRule="auto"/>
              <w:jc w:val="right"/>
            </w:pPr>
            <w:r>
              <w:rPr>
                <w:sz w:val="18"/>
              </w:rPr>
              <w:t>126,0</w:t>
            </w:r>
          </w:p>
        </w:tc>
      </w:tr>
    </w:tbl>
    <w:p w:rsidR="00DD4A1D" w:rsidRDefault="00DD4A1D">
      <w:pPr>
        <w:spacing w:after="0"/>
      </w:pPr>
    </w:p>
    <w:p w:rsidR="00DD4A1D" w:rsidRDefault="003C107F">
      <w:pPr>
        <w:spacing w:line="240" w:lineRule="auto"/>
        <w:jc w:val="both"/>
      </w:pPr>
      <w:r>
        <w:t xml:space="preserve">Povećanje se odnosi na ispitivanje sigurnosti na </w:t>
      </w:r>
      <w:r>
        <w:t>radu.</w:t>
      </w:r>
    </w:p>
    <w:p w:rsidR="00DD4A1D" w:rsidRDefault="00DD4A1D"/>
    <w:p w:rsidR="00DD4A1D" w:rsidRDefault="003C107F">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3234</w:t>
            </w:r>
          </w:p>
        </w:tc>
        <w:tc>
          <w:tcPr>
            <w:tcW w:w="3180" w:type="dxa"/>
            <w:tcMar>
              <w:top w:w="0" w:type="dxa"/>
              <w:bottom w:w="0" w:type="dxa"/>
            </w:tcMar>
            <w:vAlign w:val="center"/>
          </w:tcPr>
          <w:p w:rsidR="00DD4A1D" w:rsidRDefault="003C107F">
            <w:pPr>
              <w:keepNext/>
              <w:keepLines/>
              <w:spacing w:after="0" w:line="240" w:lineRule="auto"/>
            </w:pPr>
            <w:r>
              <w:rPr>
                <w:sz w:val="18"/>
              </w:rPr>
              <w:t>Komunalne usluge</w:t>
            </w:r>
          </w:p>
        </w:tc>
        <w:tc>
          <w:tcPr>
            <w:tcW w:w="700" w:type="dxa"/>
            <w:tcMar>
              <w:top w:w="0" w:type="dxa"/>
              <w:bottom w:w="0" w:type="dxa"/>
            </w:tcMar>
            <w:vAlign w:val="center"/>
          </w:tcPr>
          <w:p w:rsidR="00DD4A1D" w:rsidRDefault="003C107F">
            <w:pPr>
              <w:keepNext/>
              <w:keepLines/>
              <w:spacing w:after="0" w:line="240" w:lineRule="auto"/>
            </w:pPr>
            <w:r>
              <w:rPr>
                <w:sz w:val="18"/>
              </w:rPr>
              <w:t>3234</w:t>
            </w:r>
          </w:p>
        </w:tc>
        <w:tc>
          <w:tcPr>
            <w:tcW w:w="1860" w:type="dxa"/>
            <w:tcMar>
              <w:top w:w="0" w:type="dxa"/>
              <w:bottom w:w="0" w:type="dxa"/>
            </w:tcMar>
            <w:vAlign w:val="center"/>
          </w:tcPr>
          <w:p w:rsidR="00DD4A1D" w:rsidRDefault="003C107F">
            <w:pPr>
              <w:keepNext/>
              <w:keepLines/>
              <w:spacing w:after="0" w:line="240" w:lineRule="auto"/>
              <w:jc w:val="right"/>
            </w:pPr>
            <w:r>
              <w:rPr>
                <w:sz w:val="18"/>
              </w:rPr>
              <w:t>1.588,96</w:t>
            </w:r>
          </w:p>
        </w:tc>
        <w:tc>
          <w:tcPr>
            <w:tcW w:w="1860" w:type="dxa"/>
            <w:tcMar>
              <w:top w:w="0" w:type="dxa"/>
              <w:bottom w:w="0" w:type="dxa"/>
            </w:tcMar>
            <w:vAlign w:val="center"/>
          </w:tcPr>
          <w:p w:rsidR="00DD4A1D" w:rsidRDefault="003C107F">
            <w:pPr>
              <w:keepNext/>
              <w:keepLines/>
              <w:spacing w:after="0" w:line="240" w:lineRule="auto"/>
              <w:jc w:val="right"/>
            </w:pPr>
            <w:r>
              <w:rPr>
                <w:sz w:val="18"/>
              </w:rPr>
              <w:t>1.892,68</w:t>
            </w:r>
          </w:p>
        </w:tc>
        <w:tc>
          <w:tcPr>
            <w:tcW w:w="700" w:type="dxa"/>
            <w:tcMar>
              <w:top w:w="0" w:type="dxa"/>
              <w:bottom w:w="0" w:type="dxa"/>
            </w:tcMar>
            <w:vAlign w:val="center"/>
          </w:tcPr>
          <w:p w:rsidR="00DD4A1D" w:rsidRDefault="003C107F">
            <w:pPr>
              <w:keepNext/>
              <w:keepLines/>
              <w:spacing w:after="0" w:line="240" w:lineRule="auto"/>
              <w:jc w:val="right"/>
            </w:pPr>
            <w:r>
              <w:rPr>
                <w:sz w:val="18"/>
              </w:rPr>
              <w:t>119,1</w:t>
            </w:r>
          </w:p>
        </w:tc>
      </w:tr>
    </w:tbl>
    <w:p w:rsidR="00DD4A1D" w:rsidRDefault="00DD4A1D">
      <w:pPr>
        <w:spacing w:after="0"/>
      </w:pPr>
    </w:p>
    <w:p w:rsidR="00DD4A1D" w:rsidRDefault="003C107F">
      <w:pPr>
        <w:spacing w:line="240" w:lineRule="auto"/>
        <w:jc w:val="both"/>
      </w:pPr>
      <w:r>
        <w:t>Povećanje cijena usluga.</w:t>
      </w:r>
    </w:p>
    <w:p w:rsidR="00DD4A1D" w:rsidRDefault="00DD4A1D"/>
    <w:p w:rsidR="00DD4A1D" w:rsidRDefault="003C107F">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3236</w:t>
            </w:r>
          </w:p>
        </w:tc>
        <w:tc>
          <w:tcPr>
            <w:tcW w:w="3180" w:type="dxa"/>
            <w:tcMar>
              <w:top w:w="0" w:type="dxa"/>
              <w:bottom w:w="0" w:type="dxa"/>
            </w:tcMar>
            <w:vAlign w:val="center"/>
          </w:tcPr>
          <w:p w:rsidR="00DD4A1D" w:rsidRDefault="003C107F">
            <w:pPr>
              <w:keepNext/>
              <w:keepLines/>
              <w:spacing w:after="0" w:line="240" w:lineRule="auto"/>
            </w:pPr>
            <w:r>
              <w:rPr>
                <w:sz w:val="18"/>
              </w:rPr>
              <w:t>Zdravstvene i veterinarske usluge</w:t>
            </w:r>
          </w:p>
        </w:tc>
        <w:tc>
          <w:tcPr>
            <w:tcW w:w="700" w:type="dxa"/>
            <w:tcMar>
              <w:top w:w="0" w:type="dxa"/>
              <w:bottom w:w="0" w:type="dxa"/>
            </w:tcMar>
            <w:vAlign w:val="center"/>
          </w:tcPr>
          <w:p w:rsidR="00DD4A1D" w:rsidRDefault="003C107F">
            <w:pPr>
              <w:keepNext/>
              <w:keepLines/>
              <w:spacing w:after="0" w:line="240" w:lineRule="auto"/>
            </w:pPr>
            <w:r>
              <w:rPr>
                <w:sz w:val="18"/>
              </w:rPr>
              <w:t>3236</w:t>
            </w:r>
          </w:p>
        </w:tc>
        <w:tc>
          <w:tcPr>
            <w:tcW w:w="1860" w:type="dxa"/>
            <w:tcMar>
              <w:top w:w="0" w:type="dxa"/>
              <w:bottom w:w="0" w:type="dxa"/>
            </w:tcMar>
            <w:vAlign w:val="center"/>
          </w:tcPr>
          <w:p w:rsidR="00DD4A1D" w:rsidRDefault="003C107F">
            <w:pPr>
              <w:keepNext/>
              <w:keepLines/>
              <w:spacing w:after="0" w:line="240" w:lineRule="auto"/>
              <w:jc w:val="right"/>
            </w:pPr>
            <w:r>
              <w:rPr>
                <w:sz w:val="18"/>
              </w:rPr>
              <w:t>318,60</w:t>
            </w:r>
          </w:p>
        </w:tc>
        <w:tc>
          <w:tcPr>
            <w:tcW w:w="1860" w:type="dxa"/>
            <w:tcMar>
              <w:top w:w="0" w:type="dxa"/>
              <w:bottom w:w="0" w:type="dxa"/>
            </w:tcMar>
            <w:vAlign w:val="center"/>
          </w:tcPr>
          <w:p w:rsidR="00DD4A1D" w:rsidRDefault="003C107F">
            <w:pPr>
              <w:keepNext/>
              <w:keepLines/>
              <w:spacing w:after="0" w:line="240" w:lineRule="auto"/>
              <w:jc w:val="right"/>
            </w:pPr>
            <w:r>
              <w:rPr>
                <w:sz w:val="18"/>
              </w:rPr>
              <w:t>2.114,50</w:t>
            </w:r>
          </w:p>
        </w:tc>
        <w:tc>
          <w:tcPr>
            <w:tcW w:w="700" w:type="dxa"/>
            <w:tcMar>
              <w:top w:w="0" w:type="dxa"/>
              <w:bottom w:w="0" w:type="dxa"/>
            </w:tcMar>
            <w:vAlign w:val="center"/>
          </w:tcPr>
          <w:p w:rsidR="00DD4A1D" w:rsidRDefault="003C107F">
            <w:pPr>
              <w:keepNext/>
              <w:keepLines/>
              <w:spacing w:after="0" w:line="240" w:lineRule="auto"/>
              <w:jc w:val="right"/>
            </w:pPr>
            <w:r>
              <w:rPr>
                <w:sz w:val="18"/>
              </w:rPr>
              <w:t>663,7</w:t>
            </w:r>
          </w:p>
        </w:tc>
      </w:tr>
    </w:tbl>
    <w:p w:rsidR="00DD4A1D" w:rsidRDefault="00DD4A1D">
      <w:pPr>
        <w:spacing w:after="0"/>
      </w:pPr>
    </w:p>
    <w:p w:rsidR="00DD4A1D" w:rsidRDefault="003C107F">
      <w:pPr>
        <w:spacing w:line="240" w:lineRule="auto"/>
        <w:jc w:val="both"/>
      </w:pPr>
      <w:r>
        <w:t xml:space="preserve">Povećanje zdravstvenih </w:t>
      </w:r>
      <w:r>
        <w:t>usluga se odnosi na sistematski pregled 11 djelatnika.</w:t>
      </w:r>
    </w:p>
    <w:p w:rsidR="00DD4A1D" w:rsidRDefault="00DD4A1D"/>
    <w:p w:rsidR="00DD4A1D" w:rsidRDefault="003C107F">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3239</w:t>
            </w:r>
          </w:p>
        </w:tc>
        <w:tc>
          <w:tcPr>
            <w:tcW w:w="3180" w:type="dxa"/>
            <w:tcMar>
              <w:top w:w="0" w:type="dxa"/>
              <w:bottom w:w="0" w:type="dxa"/>
            </w:tcMar>
            <w:vAlign w:val="center"/>
          </w:tcPr>
          <w:p w:rsidR="00DD4A1D" w:rsidRDefault="003C107F">
            <w:pPr>
              <w:keepNext/>
              <w:keepLines/>
              <w:spacing w:after="0" w:line="240" w:lineRule="auto"/>
            </w:pPr>
            <w:r>
              <w:rPr>
                <w:sz w:val="18"/>
              </w:rPr>
              <w:t>Ostale usluge</w:t>
            </w:r>
          </w:p>
        </w:tc>
        <w:tc>
          <w:tcPr>
            <w:tcW w:w="700" w:type="dxa"/>
            <w:tcMar>
              <w:top w:w="0" w:type="dxa"/>
              <w:bottom w:w="0" w:type="dxa"/>
            </w:tcMar>
            <w:vAlign w:val="center"/>
          </w:tcPr>
          <w:p w:rsidR="00DD4A1D" w:rsidRDefault="003C107F">
            <w:pPr>
              <w:keepNext/>
              <w:keepLines/>
              <w:spacing w:after="0" w:line="240" w:lineRule="auto"/>
            </w:pPr>
            <w:r>
              <w:rPr>
                <w:sz w:val="18"/>
              </w:rPr>
              <w:t>3239</w:t>
            </w:r>
          </w:p>
        </w:tc>
        <w:tc>
          <w:tcPr>
            <w:tcW w:w="1860" w:type="dxa"/>
            <w:tcMar>
              <w:top w:w="0" w:type="dxa"/>
              <w:bottom w:w="0" w:type="dxa"/>
            </w:tcMar>
            <w:vAlign w:val="center"/>
          </w:tcPr>
          <w:p w:rsidR="00DD4A1D" w:rsidRDefault="003C107F">
            <w:pPr>
              <w:keepNext/>
              <w:keepLines/>
              <w:spacing w:after="0" w:line="240" w:lineRule="auto"/>
              <w:jc w:val="right"/>
            </w:pPr>
            <w:r>
              <w:rPr>
                <w:sz w:val="18"/>
              </w:rPr>
              <w:t>4.108,62</w:t>
            </w:r>
          </w:p>
        </w:tc>
        <w:tc>
          <w:tcPr>
            <w:tcW w:w="1860" w:type="dxa"/>
            <w:tcMar>
              <w:top w:w="0" w:type="dxa"/>
              <w:bottom w:w="0" w:type="dxa"/>
            </w:tcMar>
            <w:vAlign w:val="center"/>
          </w:tcPr>
          <w:p w:rsidR="00DD4A1D" w:rsidRDefault="003C107F">
            <w:pPr>
              <w:keepNext/>
              <w:keepLines/>
              <w:spacing w:after="0" w:line="240" w:lineRule="auto"/>
              <w:jc w:val="right"/>
            </w:pPr>
            <w:r>
              <w:rPr>
                <w:sz w:val="18"/>
              </w:rPr>
              <w:t>4.778,00</w:t>
            </w:r>
          </w:p>
        </w:tc>
        <w:tc>
          <w:tcPr>
            <w:tcW w:w="700" w:type="dxa"/>
            <w:tcMar>
              <w:top w:w="0" w:type="dxa"/>
              <w:bottom w:w="0" w:type="dxa"/>
            </w:tcMar>
            <w:vAlign w:val="center"/>
          </w:tcPr>
          <w:p w:rsidR="00DD4A1D" w:rsidRDefault="003C107F">
            <w:pPr>
              <w:keepNext/>
              <w:keepLines/>
              <w:spacing w:after="0" w:line="240" w:lineRule="auto"/>
              <w:jc w:val="right"/>
            </w:pPr>
            <w:r>
              <w:rPr>
                <w:sz w:val="18"/>
              </w:rPr>
              <w:t>116,3</w:t>
            </w:r>
          </w:p>
        </w:tc>
      </w:tr>
    </w:tbl>
    <w:p w:rsidR="00DD4A1D" w:rsidRDefault="00DD4A1D">
      <w:pPr>
        <w:spacing w:after="0"/>
      </w:pPr>
    </w:p>
    <w:p w:rsidR="00DD4A1D" w:rsidRDefault="003C107F">
      <w:pPr>
        <w:spacing w:line="240" w:lineRule="auto"/>
        <w:jc w:val="both"/>
      </w:pPr>
      <w:r>
        <w:t xml:space="preserve">Povećanje se odnosi na realizaciju </w:t>
      </w:r>
      <w:proofErr w:type="spellStart"/>
      <w:r>
        <w:t>izvanučioničke</w:t>
      </w:r>
      <w:proofErr w:type="spellEnd"/>
      <w:r>
        <w:t xml:space="preserve"> nastave.</w:t>
      </w:r>
    </w:p>
    <w:p w:rsidR="00DD4A1D" w:rsidRDefault="00DD4A1D"/>
    <w:p w:rsidR="00DD4A1D" w:rsidRDefault="003C107F">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329</w:t>
            </w:r>
          </w:p>
        </w:tc>
        <w:tc>
          <w:tcPr>
            <w:tcW w:w="3180" w:type="dxa"/>
            <w:tcMar>
              <w:top w:w="0" w:type="dxa"/>
              <w:bottom w:w="0" w:type="dxa"/>
            </w:tcMar>
            <w:vAlign w:val="center"/>
          </w:tcPr>
          <w:p w:rsidR="00DD4A1D" w:rsidRDefault="003C107F">
            <w:pPr>
              <w:keepNext/>
              <w:keepLines/>
              <w:spacing w:after="0" w:line="240" w:lineRule="auto"/>
            </w:pPr>
            <w:r>
              <w:rPr>
                <w:sz w:val="18"/>
              </w:rPr>
              <w:t xml:space="preserve">Ostali </w:t>
            </w:r>
            <w:r>
              <w:rPr>
                <w:sz w:val="18"/>
              </w:rPr>
              <w:t>nespomenuti rashodi poslovanja (šifre 3291 do 3299)</w:t>
            </w:r>
          </w:p>
        </w:tc>
        <w:tc>
          <w:tcPr>
            <w:tcW w:w="700" w:type="dxa"/>
            <w:tcMar>
              <w:top w:w="0" w:type="dxa"/>
              <w:bottom w:w="0" w:type="dxa"/>
            </w:tcMar>
            <w:vAlign w:val="center"/>
          </w:tcPr>
          <w:p w:rsidR="00DD4A1D" w:rsidRDefault="003C107F">
            <w:pPr>
              <w:keepNext/>
              <w:keepLines/>
              <w:spacing w:after="0" w:line="240" w:lineRule="auto"/>
            </w:pPr>
            <w:r>
              <w:rPr>
                <w:sz w:val="18"/>
              </w:rPr>
              <w:t>329</w:t>
            </w:r>
          </w:p>
        </w:tc>
        <w:tc>
          <w:tcPr>
            <w:tcW w:w="1860" w:type="dxa"/>
            <w:tcMar>
              <w:top w:w="0" w:type="dxa"/>
              <w:bottom w:w="0" w:type="dxa"/>
            </w:tcMar>
            <w:vAlign w:val="center"/>
          </w:tcPr>
          <w:p w:rsidR="00DD4A1D" w:rsidRDefault="003C107F">
            <w:pPr>
              <w:keepNext/>
              <w:keepLines/>
              <w:spacing w:after="0" w:line="240" w:lineRule="auto"/>
              <w:jc w:val="right"/>
            </w:pPr>
            <w:r>
              <w:rPr>
                <w:sz w:val="18"/>
              </w:rPr>
              <w:t>2.016,62</w:t>
            </w:r>
          </w:p>
        </w:tc>
        <w:tc>
          <w:tcPr>
            <w:tcW w:w="1860" w:type="dxa"/>
            <w:tcMar>
              <w:top w:w="0" w:type="dxa"/>
              <w:bottom w:w="0" w:type="dxa"/>
            </w:tcMar>
            <w:vAlign w:val="center"/>
          </w:tcPr>
          <w:p w:rsidR="00DD4A1D" w:rsidRDefault="003C107F">
            <w:pPr>
              <w:keepNext/>
              <w:keepLines/>
              <w:spacing w:after="0" w:line="240" w:lineRule="auto"/>
              <w:jc w:val="right"/>
            </w:pPr>
            <w:r>
              <w:rPr>
                <w:sz w:val="18"/>
              </w:rPr>
              <w:t>2.265,15</w:t>
            </w:r>
          </w:p>
        </w:tc>
        <w:tc>
          <w:tcPr>
            <w:tcW w:w="700" w:type="dxa"/>
            <w:tcMar>
              <w:top w:w="0" w:type="dxa"/>
              <w:bottom w:w="0" w:type="dxa"/>
            </w:tcMar>
            <w:vAlign w:val="center"/>
          </w:tcPr>
          <w:p w:rsidR="00DD4A1D" w:rsidRDefault="003C107F">
            <w:pPr>
              <w:keepNext/>
              <w:keepLines/>
              <w:spacing w:after="0" w:line="240" w:lineRule="auto"/>
              <w:jc w:val="right"/>
            </w:pPr>
            <w:r>
              <w:rPr>
                <w:sz w:val="18"/>
              </w:rPr>
              <w:t>112,3</w:t>
            </w:r>
          </w:p>
        </w:tc>
      </w:tr>
    </w:tbl>
    <w:p w:rsidR="00DD4A1D" w:rsidRDefault="00DD4A1D">
      <w:pPr>
        <w:spacing w:after="0"/>
      </w:pPr>
    </w:p>
    <w:p w:rsidR="00DD4A1D" w:rsidRDefault="003C107F">
      <w:pPr>
        <w:spacing w:line="240" w:lineRule="auto"/>
        <w:jc w:val="both"/>
      </w:pPr>
      <w:r>
        <w:lastRenderedPageBreak/>
        <w:t>Povećanje se odnosi na povećane aktivnosti učenika-mat liga kotizacije.</w:t>
      </w:r>
    </w:p>
    <w:p w:rsidR="00DD4A1D" w:rsidRDefault="00DD4A1D"/>
    <w:p w:rsidR="00DD4A1D" w:rsidRDefault="003C107F">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343</w:t>
            </w:r>
          </w:p>
        </w:tc>
        <w:tc>
          <w:tcPr>
            <w:tcW w:w="3180" w:type="dxa"/>
            <w:tcMar>
              <w:top w:w="0" w:type="dxa"/>
              <w:bottom w:w="0" w:type="dxa"/>
            </w:tcMar>
            <w:vAlign w:val="center"/>
          </w:tcPr>
          <w:p w:rsidR="00DD4A1D" w:rsidRDefault="003C107F">
            <w:pPr>
              <w:keepNext/>
              <w:keepLines/>
              <w:spacing w:after="0" w:line="240" w:lineRule="auto"/>
            </w:pPr>
            <w:r>
              <w:rPr>
                <w:sz w:val="18"/>
              </w:rPr>
              <w:t>Ostali financijski rashodi (šifre 3431 do 3434)</w:t>
            </w:r>
          </w:p>
        </w:tc>
        <w:tc>
          <w:tcPr>
            <w:tcW w:w="700" w:type="dxa"/>
            <w:tcMar>
              <w:top w:w="0" w:type="dxa"/>
              <w:bottom w:w="0" w:type="dxa"/>
            </w:tcMar>
            <w:vAlign w:val="center"/>
          </w:tcPr>
          <w:p w:rsidR="00DD4A1D" w:rsidRDefault="003C107F">
            <w:pPr>
              <w:keepNext/>
              <w:keepLines/>
              <w:spacing w:after="0" w:line="240" w:lineRule="auto"/>
            </w:pPr>
            <w:r>
              <w:rPr>
                <w:sz w:val="18"/>
              </w:rPr>
              <w:t>343</w:t>
            </w:r>
          </w:p>
        </w:tc>
        <w:tc>
          <w:tcPr>
            <w:tcW w:w="1860" w:type="dxa"/>
            <w:tcMar>
              <w:top w:w="0" w:type="dxa"/>
              <w:bottom w:w="0" w:type="dxa"/>
            </w:tcMar>
            <w:vAlign w:val="center"/>
          </w:tcPr>
          <w:p w:rsidR="00DD4A1D" w:rsidRDefault="003C107F">
            <w:pPr>
              <w:keepNext/>
              <w:keepLines/>
              <w:spacing w:after="0" w:line="240" w:lineRule="auto"/>
              <w:jc w:val="right"/>
            </w:pPr>
            <w:r>
              <w:rPr>
                <w:sz w:val="18"/>
              </w:rPr>
              <w:t>394,12</w:t>
            </w:r>
          </w:p>
        </w:tc>
        <w:tc>
          <w:tcPr>
            <w:tcW w:w="1860" w:type="dxa"/>
            <w:tcMar>
              <w:top w:w="0" w:type="dxa"/>
              <w:bottom w:w="0" w:type="dxa"/>
            </w:tcMar>
            <w:vAlign w:val="center"/>
          </w:tcPr>
          <w:p w:rsidR="00DD4A1D" w:rsidRDefault="003C107F">
            <w:pPr>
              <w:keepNext/>
              <w:keepLines/>
              <w:spacing w:after="0" w:line="240" w:lineRule="auto"/>
              <w:jc w:val="right"/>
            </w:pPr>
            <w:r>
              <w:rPr>
                <w:sz w:val="18"/>
              </w:rPr>
              <w:t>481,84</w:t>
            </w:r>
          </w:p>
        </w:tc>
        <w:tc>
          <w:tcPr>
            <w:tcW w:w="700" w:type="dxa"/>
            <w:tcMar>
              <w:top w:w="0" w:type="dxa"/>
              <w:bottom w:w="0" w:type="dxa"/>
            </w:tcMar>
            <w:vAlign w:val="center"/>
          </w:tcPr>
          <w:p w:rsidR="00DD4A1D" w:rsidRDefault="003C107F">
            <w:pPr>
              <w:keepNext/>
              <w:keepLines/>
              <w:spacing w:after="0" w:line="240" w:lineRule="auto"/>
              <w:jc w:val="right"/>
            </w:pPr>
            <w:r>
              <w:rPr>
                <w:sz w:val="18"/>
              </w:rPr>
              <w:t>122,3</w:t>
            </w:r>
          </w:p>
        </w:tc>
      </w:tr>
    </w:tbl>
    <w:p w:rsidR="00DD4A1D" w:rsidRDefault="00DD4A1D">
      <w:pPr>
        <w:spacing w:after="0"/>
      </w:pPr>
    </w:p>
    <w:p w:rsidR="00DD4A1D" w:rsidRDefault="003C107F">
      <w:pPr>
        <w:spacing w:line="240" w:lineRule="auto"/>
        <w:jc w:val="both"/>
      </w:pPr>
      <w:r>
        <w:t>U odnosu na isto razdoblje prethodne godine povećanje od 22,3%.</w:t>
      </w:r>
    </w:p>
    <w:p w:rsidR="00DD4A1D" w:rsidRDefault="00DD4A1D"/>
    <w:p w:rsidR="00DD4A1D" w:rsidRDefault="003C107F">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3431</w:t>
            </w:r>
          </w:p>
        </w:tc>
        <w:tc>
          <w:tcPr>
            <w:tcW w:w="3180" w:type="dxa"/>
            <w:tcMar>
              <w:top w:w="0" w:type="dxa"/>
              <w:bottom w:w="0" w:type="dxa"/>
            </w:tcMar>
            <w:vAlign w:val="center"/>
          </w:tcPr>
          <w:p w:rsidR="00DD4A1D" w:rsidRDefault="003C107F">
            <w:pPr>
              <w:keepNext/>
              <w:keepLines/>
              <w:spacing w:after="0" w:line="240" w:lineRule="auto"/>
            </w:pPr>
            <w:r>
              <w:rPr>
                <w:sz w:val="18"/>
              </w:rPr>
              <w:t>Bankarske usluge i usluge platnog prometa</w:t>
            </w:r>
          </w:p>
        </w:tc>
        <w:tc>
          <w:tcPr>
            <w:tcW w:w="700" w:type="dxa"/>
            <w:tcMar>
              <w:top w:w="0" w:type="dxa"/>
              <w:bottom w:w="0" w:type="dxa"/>
            </w:tcMar>
            <w:vAlign w:val="center"/>
          </w:tcPr>
          <w:p w:rsidR="00DD4A1D" w:rsidRDefault="003C107F">
            <w:pPr>
              <w:keepNext/>
              <w:keepLines/>
              <w:spacing w:after="0" w:line="240" w:lineRule="auto"/>
            </w:pPr>
            <w:r>
              <w:rPr>
                <w:sz w:val="18"/>
              </w:rPr>
              <w:t>3431</w:t>
            </w:r>
          </w:p>
        </w:tc>
        <w:tc>
          <w:tcPr>
            <w:tcW w:w="1860" w:type="dxa"/>
            <w:tcMar>
              <w:top w:w="0" w:type="dxa"/>
              <w:bottom w:w="0" w:type="dxa"/>
            </w:tcMar>
            <w:vAlign w:val="center"/>
          </w:tcPr>
          <w:p w:rsidR="00DD4A1D" w:rsidRDefault="003C107F">
            <w:pPr>
              <w:keepNext/>
              <w:keepLines/>
              <w:spacing w:after="0" w:line="240" w:lineRule="auto"/>
              <w:jc w:val="right"/>
            </w:pPr>
            <w:r>
              <w:rPr>
                <w:sz w:val="18"/>
              </w:rPr>
              <w:t>351,63</w:t>
            </w:r>
          </w:p>
        </w:tc>
        <w:tc>
          <w:tcPr>
            <w:tcW w:w="1860" w:type="dxa"/>
            <w:tcMar>
              <w:top w:w="0" w:type="dxa"/>
              <w:bottom w:w="0" w:type="dxa"/>
            </w:tcMar>
            <w:vAlign w:val="center"/>
          </w:tcPr>
          <w:p w:rsidR="00DD4A1D" w:rsidRDefault="003C107F">
            <w:pPr>
              <w:keepNext/>
              <w:keepLines/>
              <w:spacing w:after="0" w:line="240" w:lineRule="auto"/>
              <w:jc w:val="right"/>
            </w:pPr>
            <w:r>
              <w:rPr>
                <w:sz w:val="18"/>
              </w:rPr>
              <w:t>481,84</w:t>
            </w:r>
          </w:p>
        </w:tc>
        <w:tc>
          <w:tcPr>
            <w:tcW w:w="700" w:type="dxa"/>
            <w:tcMar>
              <w:top w:w="0" w:type="dxa"/>
              <w:bottom w:w="0" w:type="dxa"/>
            </w:tcMar>
            <w:vAlign w:val="center"/>
          </w:tcPr>
          <w:p w:rsidR="00DD4A1D" w:rsidRDefault="003C107F">
            <w:pPr>
              <w:keepNext/>
              <w:keepLines/>
              <w:spacing w:after="0" w:line="240" w:lineRule="auto"/>
              <w:jc w:val="right"/>
            </w:pPr>
            <w:r>
              <w:rPr>
                <w:sz w:val="18"/>
              </w:rPr>
              <w:t>137,0</w:t>
            </w:r>
          </w:p>
        </w:tc>
      </w:tr>
    </w:tbl>
    <w:p w:rsidR="00DD4A1D" w:rsidRDefault="00DD4A1D">
      <w:pPr>
        <w:spacing w:after="0"/>
      </w:pPr>
    </w:p>
    <w:p w:rsidR="00DD4A1D" w:rsidRDefault="003C107F">
      <w:pPr>
        <w:spacing w:line="240" w:lineRule="auto"/>
        <w:jc w:val="both"/>
      </w:pPr>
      <w:r>
        <w:t>Povećanje se odnosi na povećani obim usluga i povećanje cijena.</w:t>
      </w:r>
    </w:p>
    <w:p w:rsidR="00DD4A1D" w:rsidRDefault="00DD4A1D"/>
    <w:p w:rsidR="00DD4A1D" w:rsidRDefault="003C107F">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37</w:t>
            </w:r>
          </w:p>
        </w:tc>
        <w:tc>
          <w:tcPr>
            <w:tcW w:w="3180" w:type="dxa"/>
            <w:tcMar>
              <w:top w:w="0" w:type="dxa"/>
              <w:bottom w:w="0" w:type="dxa"/>
            </w:tcMar>
            <w:vAlign w:val="center"/>
          </w:tcPr>
          <w:p w:rsidR="00DD4A1D" w:rsidRDefault="003C107F">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rsidR="00DD4A1D" w:rsidRDefault="003C107F">
            <w:pPr>
              <w:keepNext/>
              <w:keepLines/>
              <w:spacing w:after="0" w:line="240" w:lineRule="auto"/>
            </w:pPr>
            <w:r>
              <w:rPr>
                <w:sz w:val="18"/>
              </w:rPr>
              <w:t>37</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800,00</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Trošak se odnosi na isplatu naknada ( učenici s teškoćama).</w:t>
      </w:r>
    </w:p>
    <w:p w:rsidR="00DD4A1D" w:rsidRDefault="00DD4A1D"/>
    <w:p w:rsidR="00DD4A1D" w:rsidRDefault="003C107F">
      <w:pPr>
        <w:keepNext/>
        <w:spacing w:line="240" w:lineRule="auto"/>
        <w:jc w:val="center"/>
      </w:pPr>
      <w:r>
        <w:rPr>
          <w:sz w:val="28"/>
        </w:rPr>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38</w:t>
            </w:r>
          </w:p>
        </w:tc>
        <w:tc>
          <w:tcPr>
            <w:tcW w:w="3180" w:type="dxa"/>
            <w:tcMar>
              <w:top w:w="0" w:type="dxa"/>
              <w:bottom w:w="0" w:type="dxa"/>
            </w:tcMar>
            <w:vAlign w:val="center"/>
          </w:tcPr>
          <w:p w:rsidR="00DD4A1D" w:rsidRDefault="003C107F">
            <w:pPr>
              <w:keepNext/>
              <w:keepLines/>
              <w:spacing w:after="0" w:line="240" w:lineRule="auto"/>
            </w:pPr>
            <w:r>
              <w:rPr>
                <w:sz w:val="18"/>
              </w:rPr>
              <w:t xml:space="preserve">Rashodi </w:t>
            </w:r>
            <w:r>
              <w:rPr>
                <w:sz w:val="18"/>
              </w:rPr>
              <w:t>za donacije, kazne, naknade šteta i kapitalne pomoći (šifre 381+382+383+386)</w:t>
            </w:r>
          </w:p>
        </w:tc>
        <w:tc>
          <w:tcPr>
            <w:tcW w:w="700" w:type="dxa"/>
            <w:tcMar>
              <w:top w:w="0" w:type="dxa"/>
              <w:bottom w:w="0" w:type="dxa"/>
            </w:tcMar>
            <w:vAlign w:val="center"/>
          </w:tcPr>
          <w:p w:rsidR="00DD4A1D" w:rsidRDefault="003C107F">
            <w:pPr>
              <w:keepNext/>
              <w:keepLines/>
              <w:spacing w:after="0" w:line="240" w:lineRule="auto"/>
            </w:pPr>
            <w:r>
              <w:rPr>
                <w:sz w:val="18"/>
              </w:rPr>
              <w:t>38</w:t>
            </w:r>
          </w:p>
        </w:tc>
        <w:tc>
          <w:tcPr>
            <w:tcW w:w="1860" w:type="dxa"/>
            <w:tcMar>
              <w:top w:w="0" w:type="dxa"/>
              <w:bottom w:w="0" w:type="dxa"/>
            </w:tcMar>
            <w:vAlign w:val="center"/>
          </w:tcPr>
          <w:p w:rsidR="00DD4A1D" w:rsidRDefault="003C107F">
            <w:pPr>
              <w:keepNext/>
              <w:keepLines/>
              <w:spacing w:after="0" w:line="240" w:lineRule="auto"/>
              <w:jc w:val="right"/>
            </w:pPr>
            <w:r>
              <w:rPr>
                <w:sz w:val="18"/>
              </w:rPr>
              <w:t>495,00</w:t>
            </w:r>
          </w:p>
        </w:tc>
        <w:tc>
          <w:tcPr>
            <w:tcW w:w="1860" w:type="dxa"/>
            <w:tcMar>
              <w:top w:w="0" w:type="dxa"/>
              <w:bottom w:w="0" w:type="dxa"/>
            </w:tcMar>
            <w:vAlign w:val="center"/>
          </w:tcPr>
          <w:p w:rsidR="00DD4A1D" w:rsidRDefault="003C107F">
            <w:pPr>
              <w:keepNext/>
              <w:keepLines/>
              <w:spacing w:after="0" w:line="240" w:lineRule="auto"/>
              <w:jc w:val="right"/>
            </w:pPr>
            <w:r>
              <w:rPr>
                <w:sz w:val="18"/>
              </w:rPr>
              <w:t>450,00</w:t>
            </w:r>
          </w:p>
        </w:tc>
        <w:tc>
          <w:tcPr>
            <w:tcW w:w="700" w:type="dxa"/>
            <w:tcMar>
              <w:top w:w="0" w:type="dxa"/>
              <w:bottom w:w="0" w:type="dxa"/>
            </w:tcMar>
            <w:vAlign w:val="center"/>
          </w:tcPr>
          <w:p w:rsidR="00DD4A1D" w:rsidRDefault="003C107F">
            <w:pPr>
              <w:keepNext/>
              <w:keepLines/>
              <w:spacing w:after="0" w:line="240" w:lineRule="auto"/>
              <w:jc w:val="right"/>
            </w:pPr>
            <w:r>
              <w:rPr>
                <w:sz w:val="18"/>
              </w:rPr>
              <w:t>90,9</w:t>
            </w:r>
          </w:p>
        </w:tc>
      </w:tr>
    </w:tbl>
    <w:p w:rsidR="00DD4A1D" w:rsidRDefault="00DD4A1D">
      <w:pPr>
        <w:spacing w:after="0"/>
      </w:pPr>
    </w:p>
    <w:p w:rsidR="00DD4A1D" w:rsidRDefault="003C107F">
      <w:pPr>
        <w:spacing w:line="240" w:lineRule="auto"/>
        <w:jc w:val="both"/>
      </w:pPr>
      <w:r>
        <w:t>Nabava higijenskih potrepština za učenice škole-smanjenje zbog smanjenog broja učenica.</w:t>
      </w:r>
    </w:p>
    <w:p w:rsidR="00DD4A1D" w:rsidRDefault="00DD4A1D"/>
    <w:p w:rsidR="00DD4A1D" w:rsidRDefault="003C107F">
      <w:pPr>
        <w:keepNext/>
        <w:spacing w:line="240" w:lineRule="auto"/>
        <w:jc w:val="center"/>
      </w:pPr>
      <w:r>
        <w:rPr>
          <w:sz w:val="28"/>
        </w:rPr>
        <w:lastRenderedPageBreak/>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92221</w:t>
            </w:r>
          </w:p>
        </w:tc>
        <w:tc>
          <w:tcPr>
            <w:tcW w:w="3180" w:type="dxa"/>
            <w:tcMar>
              <w:top w:w="0" w:type="dxa"/>
              <w:bottom w:w="0" w:type="dxa"/>
            </w:tcMar>
            <w:vAlign w:val="center"/>
          </w:tcPr>
          <w:p w:rsidR="00DD4A1D" w:rsidRDefault="003C107F">
            <w:pPr>
              <w:keepNext/>
              <w:keepLines/>
              <w:spacing w:after="0" w:line="240" w:lineRule="auto"/>
            </w:pPr>
            <w:r>
              <w:rPr>
                <w:sz w:val="18"/>
              </w:rPr>
              <w:t>Manjak prihoda poslovanja - preneseni</w:t>
            </w:r>
          </w:p>
        </w:tc>
        <w:tc>
          <w:tcPr>
            <w:tcW w:w="700" w:type="dxa"/>
            <w:tcMar>
              <w:top w:w="0" w:type="dxa"/>
              <w:bottom w:w="0" w:type="dxa"/>
            </w:tcMar>
            <w:vAlign w:val="center"/>
          </w:tcPr>
          <w:p w:rsidR="00DD4A1D" w:rsidRDefault="003C107F">
            <w:pPr>
              <w:keepNext/>
              <w:keepLines/>
              <w:spacing w:after="0" w:line="240" w:lineRule="auto"/>
            </w:pPr>
            <w:r>
              <w:rPr>
                <w:sz w:val="18"/>
              </w:rPr>
              <w:t>92221</w:t>
            </w:r>
          </w:p>
        </w:tc>
        <w:tc>
          <w:tcPr>
            <w:tcW w:w="1860" w:type="dxa"/>
            <w:tcMar>
              <w:top w:w="0" w:type="dxa"/>
              <w:bottom w:w="0" w:type="dxa"/>
            </w:tcMar>
            <w:vAlign w:val="center"/>
          </w:tcPr>
          <w:p w:rsidR="00DD4A1D" w:rsidRDefault="003C107F">
            <w:pPr>
              <w:keepNext/>
              <w:keepLines/>
              <w:spacing w:after="0" w:line="240" w:lineRule="auto"/>
              <w:jc w:val="right"/>
            </w:pPr>
            <w:r>
              <w:rPr>
                <w:sz w:val="18"/>
              </w:rPr>
              <w:t>3.001,72</w:t>
            </w:r>
          </w:p>
        </w:tc>
        <w:tc>
          <w:tcPr>
            <w:tcW w:w="1860" w:type="dxa"/>
            <w:tcMar>
              <w:top w:w="0" w:type="dxa"/>
              <w:bottom w:w="0" w:type="dxa"/>
            </w:tcMar>
            <w:vAlign w:val="center"/>
          </w:tcPr>
          <w:p w:rsidR="00DD4A1D" w:rsidRDefault="003C107F">
            <w:pPr>
              <w:keepNext/>
              <w:keepLines/>
              <w:spacing w:after="0" w:line="240" w:lineRule="auto"/>
              <w:jc w:val="right"/>
            </w:pPr>
            <w:r>
              <w:rPr>
                <w:sz w:val="18"/>
              </w:rPr>
              <w:t>301,70</w:t>
            </w:r>
          </w:p>
        </w:tc>
        <w:tc>
          <w:tcPr>
            <w:tcW w:w="700" w:type="dxa"/>
            <w:tcMar>
              <w:top w:w="0" w:type="dxa"/>
              <w:bottom w:w="0" w:type="dxa"/>
            </w:tcMar>
            <w:vAlign w:val="center"/>
          </w:tcPr>
          <w:p w:rsidR="00DD4A1D" w:rsidRDefault="003C107F">
            <w:pPr>
              <w:keepNext/>
              <w:keepLines/>
              <w:spacing w:after="0" w:line="240" w:lineRule="auto"/>
              <w:jc w:val="right"/>
            </w:pPr>
            <w:r>
              <w:rPr>
                <w:sz w:val="18"/>
              </w:rPr>
              <w:t>10,1</w:t>
            </w:r>
          </w:p>
        </w:tc>
      </w:tr>
    </w:tbl>
    <w:p w:rsidR="00DD4A1D" w:rsidRDefault="00DD4A1D">
      <w:pPr>
        <w:spacing w:after="0"/>
      </w:pPr>
    </w:p>
    <w:p w:rsidR="00DD4A1D" w:rsidRDefault="003C107F">
      <w:pPr>
        <w:spacing w:line="240" w:lineRule="auto"/>
        <w:jc w:val="both"/>
      </w:pPr>
      <w:r>
        <w:t xml:space="preserve">Manjak prihoda i primitaka preneseni- izvršena je korekcija prema Odluci o </w:t>
      </w:r>
      <w:r>
        <w:t>rasporedu rezultata, koja se nije mogla utvrditi provođenjem obvezne korekcije na dan 31.12.2024. godine za iznos od 329,00 eura.  Tom Odlukom preneseni višak prihoda poslovanja se korigira za iznos od 329,00 eura te postaje manjak, a povećava se višak pri</w:t>
      </w:r>
      <w:r>
        <w:t xml:space="preserve">hoda od NF imovine. Isto je utvrđena greška UF-509 iz 2024. godine kojom je evidentirano 10,00 eura više. Greška je ispravljena smanjenjem obveza i smanjenjem manjka prihoda iz izvora 5.2.1 Ministarstvo.     Nakon provedenih korekcija i ispravaka rezultat </w:t>
      </w:r>
      <w:r>
        <w:t>sada glasi: manjak prihoda poslovanja-preneseni       301,70                                                                                                                            višak prihoda od NF imovine-preneseni 1.007,36</w:t>
      </w:r>
    </w:p>
    <w:p w:rsidR="00DD4A1D" w:rsidRDefault="00DD4A1D"/>
    <w:p w:rsidR="00DD4A1D" w:rsidRDefault="003C107F">
      <w:pPr>
        <w:keepNext/>
        <w:spacing w:line="240" w:lineRule="auto"/>
        <w:jc w:val="center"/>
      </w:pPr>
      <w:r>
        <w:rPr>
          <w:sz w:val="28"/>
        </w:rPr>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w:t>
            </w:r>
            <w:r>
              <w:rPr>
                <w:b/>
                <w:sz w:val="18"/>
              </w:rPr>
              <w:t>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96</w:t>
            </w:r>
          </w:p>
        </w:tc>
        <w:tc>
          <w:tcPr>
            <w:tcW w:w="3180" w:type="dxa"/>
            <w:tcMar>
              <w:top w:w="0" w:type="dxa"/>
              <w:bottom w:w="0" w:type="dxa"/>
            </w:tcMar>
            <w:vAlign w:val="center"/>
          </w:tcPr>
          <w:p w:rsidR="00DD4A1D" w:rsidRDefault="003C107F">
            <w:pPr>
              <w:keepNext/>
              <w:keepLines/>
              <w:spacing w:after="0" w:line="240" w:lineRule="auto"/>
            </w:pPr>
            <w:r>
              <w:rPr>
                <w:sz w:val="18"/>
              </w:rPr>
              <w:t>Obračunati prihodi poslovanja - nenaplaćeni</w:t>
            </w:r>
          </w:p>
        </w:tc>
        <w:tc>
          <w:tcPr>
            <w:tcW w:w="700" w:type="dxa"/>
            <w:tcMar>
              <w:top w:w="0" w:type="dxa"/>
              <w:bottom w:w="0" w:type="dxa"/>
            </w:tcMar>
            <w:vAlign w:val="center"/>
          </w:tcPr>
          <w:p w:rsidR="00DD4A1D" w:rsidRDefault="003C107F">
            <w:pPr>
              <w:keepNext/>
              <w:keepLines/>
              <w:spacing w:after="0" w:line="240" w:lineRule="auto"/>
            </w:pPr>
            <w:r>
              <w:rPr>
                <w:sz w:val="18"/>
              </w:rPr>
              <w:t>96</w:t>
            </w:r>
          </w:p>
        </w:tc>
        <w:tc>
          <w:tcPr>
            <w:tcW w:w="1860" w:type="dxa"/>
            <w:tcMar>
              <w:top w:w="0" w:type="dxa"/>
              <w:bottom w:w="0" w:type="dxa"/>
            </w:tcMar>
            <w:vAlign w:val="center"/>
          </w:tcPr>
          <w:p w:rsidR="00DD4A1D" w:rsidRDefault="003C107F">
            <w:pPr>
              <w:keepNext/>
              <w:keepLines/>
              <w:spacing w:after="0" w:line="240" w:lineRule="auto"/>
              <w:jc w:val="right"/>
            </w:pPr>
            <w:r>
              <w:rPr>
                <w:sz w:val="18"/>
              </w:rPr>
              <w:t>180,00</w:t>
            </w:r>
          </w:p>
        </w:tc>
        <w:tc>
          <w:tcPr>
            <w:tcW w:w="1860" w:type="dxa"/>
            <w:tcMar>
              <w:top w:w="0" w:type="dxa"/>
              <w:bottom w:w="0" w:type="dxa"/>
            </w:tcMar>
            <w:vAlign w:val="center"/>
          </w:tcPr>
          <w:p w:rsidR="00DD4A1D" w:rsidRDefault="003C107F">
            <w:pPr>
              <w:keepNext/>
              <w:keepLines/>
              <w:spacing w:after="0" w:line="240" w:lineRule="auto"/>
              <w:jc w:val="right"/>
            </w:pPr>
            <w:r>
              <w:rPr>
                <w:sz w:val="18"/>
              </w:rPr>
              <w:t>95.521,86</w:t>
            </w:r>
          </w:p>
        </w:tc>
        <w:tc>
          <w:tcPr>
            <w:tcW w:w="700" w:type="dxa"/>
            <w:tcMar>
              <w:top w:w="0" w:type="dxa"/>
              <w:bottom w:w="0" w:type="dxa"/>
            </w:tcMar>
            <w:vAlign w:val="center"/>
          </w:tcPr>
          <w:p w:rsidR="00DD4A1D" w:rsidRDefault="003C107F">
            <w:pPr>
              <w:keepNext/>
              <w:keepLines/>
              <w:spacing w:after="0" w:line="240" w:lineRule="auto"/>
              <w:jc w:val="right"/>
            </w:pPr>
            <w:r>
              <w:rPr>
                <w:sz w:val="18"/>
              </w:rPr>
              <w:t>&gt;&gt;100</w:t>
            </w:r>
          </w:p>
        </w:tc>
      </w:tr>
    </w:tbl>
    <w:p w:rsidR="00DD4A1D" w:rsidRDefault="00DD4A1D">
      <w:pPr>
        <w:spacing w:after="0"/>
      </w:pPr>
    </w:p>
    <w:p w:rsidR="00DD4A1D" w:rsidRDefault="003C107F">
      <w:pPr>
        <w:spacing w:line="240" w:lineRule="auto"/>
        <w:jc w:val="both"/>
      </w:pPr>
      <w:r>
        <w:t>Obračunati prihodi poslovanja knjiženi su</w:t>
      </w:r>
      <w:r>
        <w:t xml:space="preserve"> ove godine prema novom Pravilniku o proračunskom računovodstvu i računskom planu. Prema novom pravilniku treba se osigurati usporedno knjiženje da svaki prihod koji se priznaje (osim donacija) mora imati prethodno evidentirana potraživanje i obračunate pr</w:t>
      </w:r>
      <w:r>
        <w:t>ihode.</w:t>
      </w:r>
    </w:p>
    <w:p w:rsidR="00DD4A1D" w:rsidRDefault="00DD4A1D"/>
    <w:p w:rsidR="00DD4A1D" w:rsidRDefault="003C107F">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7</w:t>
            </w:r>
          </w:p>
        </w:tc>
        <w:tc>
          <w:tcPr>
            <w:tcW w:w="3180" w:type="dxa"/>
            <w:tcMar>
              <w:top w:w="0" w:type="dxa"/>
              <w:bottom w:w="0" w:type="dxa"/>
            </w:tcMar>
            <w:vAlign w:val="center"/>
          </w:tcPr>
          <w:p w:rsidR="00DD4A1D" w:rsidRDefault="003C107F">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DD4A1D" w:rsidRDefault="003C107F">
            <w:pPr>
              <w:keepNext/>
              <w:keepLines/>
              <w:spacing w:after="0" w:line="240" w:lineRule="auto"/>
            </w:pPr>
            <w:r>
              <w:rPr>
                <w:sz w:val="18"/>
              </w:rPr>
              <w:t>7</w:t>
            </w:r>
          </w:p>
        </w:tc>
        <w:tc>
          <w:tcPr>
            <w:tcW w:w="1860" w:type="dxa"/>
            <w:tcMar>
              <w:top w:w="0" w:type="dxa"/>
              <w:bottom w:w="0" w:type="dxa"/>
            </w:tcMar>
            <w:vAlign w:val="center"/>
          </w:tcPr>
          <w:p w:rsidR="00DD4A1D" w:rsidRDefault="003C107F">
            <w:pPr>
              <w:keepNext/>
              <w:keepLines/>
              <w:spacing w:after="0" w:line="240" w:lineRule="auto"/>
              <w:jc w:val="right"/>
            </w:pPr>
            <w:r>
              <w:rPr>
                <w:sz w:val="18"/>
              </w:rPr>
              <w:t>46,20</w:t>
            </w:r>
          </w:p>
        </w:tc>
        <w:tc>
          <w:tcPr>
            <w:tcW w:w="1860" w:type="dxa"/>
            <w:tcMar>
              <w:top w:w="0" w:type="dxa"/>
              <w:bottom w:w="0" w:type="dxa"/>
            </w:tcMar>
            <w:vAlign w:val="center"/>
          </w:tcPr>
          <w:p w:rsidR="00DD4A1D" w:rsidRDefault="003C107F">
            <w:pPr>
              <w:keepNext/>
              <w:keepLines/>
              <w:spacing w:after="0" w:line="240" w:lineRule="auto"/>
              <w:jc w:val="right"/>
            </w:pPr>
            <w:r>
              <w:rPr>
                <w:sz w:val="18"/>
              </w:rPr>
              <w:t>6,89</w:t>
            </w:r>
          </w:p>
        </w:tc>
        <w:tc>
          <w:tcPr>
            <w:tcW w:w="700" w:type="dxa"/>
            <w:tcMar>
              <w:top w:w="0" w:type="dxa"/>
              <w:bottom w:w="0" w:type="dxa"/>
            </w:tcMar>
            <w:vAlign w:val="center"/>
          </w:tcPr>
          <w:p w:rsidR="00DD4A1D" w:rsidRDefault="003C107F">
            <w:pPr>
              <w:keepNext/>
              <w:keepLines/>
              <w:spacing w:after="0" w:line="240" w:lineRule="auto"/>
              <w:jc w:val="right"/>
            </w:pPr>
            <w:r>
              <w:rPr>
                <w:sz w:val="18"/>
              </w:rPr>
              <w:t>14,9</w:t>
            </w:r>
          </w:p>
        </w:tc>
      </w:tr>
    </w:tbl>
    <w:p w:rsidR="00DD4A1D" w:rsidRDefault="00DD4A1D">
      <w:pPr>
        <w:spacing w:after="0"/>
      </w:pPr>
    </w:p>
    <w:p w:rsidR="00DD4A1D" w:rsidRDefault="003C107F">
      <w:pPr>
        <w:spacing w:line="240" w:lineRule="auto"/>
        <w:jc w:val="both"/>
      </w:pPr>
      <w:r>
        <w:t>Smanjenje prihoda od nefinancijske imovine- u mjesecu siječnju završen je otkup stanova na kojima je postojalo stanarsko pravo, te više nemamo prihoda iz tog izvora.</w:t>
      </w:r>
    </w:p>
    <w:p w:rsidR="00DD4A1D" w:rsidRDefault="00DD4A1D"/>
    <w:p w:rsidR="00DD4A1D" w:rsidRDefault="003C107F">
      <w:pPr>
        <w:keepNext/>
        <w:spacing w:line="240" w:lineRule="auto"/>
        <w:jc w:val="center"/>
      </w:pPr>
      <w:r>
        <w:rPr>
          <w:sz w:val="28"/>
        </w:rPr>
        <w:lastRenderedPageBreak/>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w:t>
            </w:r>
            <w:r>
              <w:rPr>
                <w:b/>
                <w:sz w:val="18"/>
              </w:rPr>
              <w:t>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4</w:t>
            </w:r>
          </w:p>
        </w:tc>
        <w:tc>
          <w:tcPr>
            <w:tcW w:w="3180" w:type="dxa"/>
            <w:tcMar>
              <w:top w:w="0" w:type="dxa"/>
              <w:bottom w:w="0" w:type="dxa"/>
            </w:tcMar>
            <w:vAlign w:val="center"/>
          </w:tcPr>
          <w:p w:rsidR="00DD4A1D" w:rsidRDefault="003C107F">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DD4A1D" w:rsidRDefault="003C107F">
            <w:pPr>
              <w:keepNext/>
              <w:keepLines/>
              <w:spacing w:after="0" w:line="240" w:lineRule="auto"/>
            </w:pPr>
            <w:r>
              <w:rPr>
                <w:sz w:val="18"/>
              </w:rPr>
              <w:t>4</w:t>
            </w:r>
          </w:p>
        </w:tc>
        <w:tc>
          <w:tcPr>
            <w:tcW w:w="1860" w:type="dxa"/>
            <w:tcMar>
              <w:top w:w="0" w:type="dxa"/>
              <w:bottom w:w="0" w:type="dxa"/>
            </w:tcMar>
            <w:vAlign w:val="center"/>
          </w:tcPr>
          <w:p w:rsidR="00DD4A1D" w:rsidRDefault="003C107F">
            <w:pPr>
              <w:keepNext/>
              <w:keepLines/>
              <w:spacing w:after="0" w:line="240" w:lineRule="auto"/>
              <w:jc w:val="right"/>
            </w:pPr>
            <w:r>
              <w:rPr>
                <w:sz w:val="18"/>
              </w:rPr>
              <w:t>877,60</w:t>
            </w:r>
          </w:p>
        </w:tc>
        <w:tc>
          <w:tcPr>
            <w:tcW w:w="1860" w:type="dxa"/>
            <w:tcMar>
              <w:top w:w="0" w:type="dxa"/>
              <w:bottom w:w="0" w:type="dxa"/>
            </w:tcMar>
            <w:vAlign w:val="center"/>
          </w:tcPr>
          <w:p w:rsidR="00DD4A1D" w:rsidRDefault="003C107F">
            <w:pPr>
              <w:keepNext/>
              <w:keepLines/>
              <w:spacing w:after="0" w:line="240" w:lineRule="auto"/>
              <w:jc w:val="right"/>
            </w:pPr>
            <w:r>
              <w:rPr>
                <w:sz w:val="18"/>
              </w:rPr>
              <w:t>1.796,20</w:t>
            </w:r>
          </w:p>
        </w:tc>
        <w:tc>
          <w:tcPr>
            <w:tcW w:w="700" w:type="dxa"/>
            <w:tcMar>
              <w:top w:w="0" w:type="dxa"/>
              <w:bottom w:w="0" w:type="dxa"/>
            </w:tcMar>
            <w:vAlign w:val="center"/>
          </w:tcPr>
          <w:p w:rsidR="00DD4A1D" w:rsidRDefault="003C107F">
            <w:pPr>
              <w:keepNext/>
              <w:keepLines/>
              <w:spacing w:after="0" w:line="240" w:lineRule="auto"/>
              <w:jc w:val="right"/>
            </w:pPr>
            <w:r>
              <w:rPr>
                <w:sz w:val="18"/>
              </w:rPr>
              <w:t>204,7</w:t>
            </w:r>
          </w:p>
        </w:tc>
      </w:tr>
    </w:tbl>
    <w:p w:rsidR="00DD4A1D" w:rsidRDefault="00DD4A1D">
      <w:pPr>
        <w:spacing w:after="0"/>
      </w:pPr>
    </w:p>
    <w:p w:rsidR="00DD4A1D" w:rsidRDefault="003C107F">
      <w:pPr>
        <w:spacing w:line="240" w:lineRule="auto"/>
        <w:jc w:val="both"/>
      </w:pPr>
      <w:r>
        <w:t xml:space="preserve">Povećanje u odnosu na prošlu godinu-nabava namještaja financirana iz pomoći Općine Novi </w:t>
      </w:r>
      <w:proofErr w:type="spellStart"/>
      <w:r>
        <w:t>Golubovec</w:t>
      </w:r>
      <w:proofErr w:type="spellEnd"/>
      <w:r>
        <w:t>.</w:t>
      </w:r>
    </w:p>
    <w:p w:rsidR="00DD4A1D" w:rsidRDefault="00DD4A1D"/>
    <w:p w:rsidR="00DD4A1D" w:rsidRDefault="003C107F">
      <w:pPr>
        <w:keepNext/>
        <w:spacing w:line="240" w:lineRule="auto"/>
        <w:jc w:val="center"/>
      </w:pPr>
      <w:r>
        <w:rPr>
          <w:sz w:val="28"/>
        </w:rPr>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4221</w:t>
            </w:r>
          </w:p>
        </w:tc>
        <w:tc>
          <w:tcPr>
            <w:tcW w:w="3180" w:type="dxa"/>
            <w:tcMar>
              <w:top w:w="0" w:type="dxa"/>
              <w:bottom w:w="0" w:type="dxa"/>
            </w:tcMar>
            <w:vAlign w:val="center"/>
          </w:tcPr>
          <w:p w:rsidR="00DD4A1D" w:rsidRDefault="003C107F">
            <w:pPr>
              <w:keepNext/>
              <w:keepLines/>
              <w:spacing w:after="0" w:line="240" w:lineRule="auto"/>
            </w:pPr>
            <w:r>
              <w:rPr>
                <w:sz w:val="18"/>
              </w:rPr>
              <w:t>Uredska oprema i namještaj</w:t>
            </w:r>
          </w:p>
        </w:tc>
        <w:tc>
          <w:tcPr>
            <w:tcW w:w="700" w:type="dxa"/>
            <w:tcMar>
              <w:top w:w="0" w:type="dxa"/>
              <w:bottom w:w="0" w:type="dxa"/>
            </w:tcMar>
            <w:vAlign w:val="center"/>
          </w:tcPr>
          <w:p w:rsidR="00DD4A1D" w:rsidRDefault="003C107F">
            <w:pPr>
              <w:keepNext/>
              <w:keepLines/>
              <w:spacing w:after="0" w:line="240" w:lineRule="auto"/>
            </w:pPr>
            <w:r>
              <w:rPr>
                <w:sz w:val="18"/>
              </w:rPr>
              <w:t>4221</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1.091,25</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 xml:space="preserve">Nabava namještaja iz </w:t>
      </w:r>
      <w:r>
        <w:t xml:space="preserve">kapitalnih pomoći Općine Novi </w:t>
      </w:r>
      <w:proofErr w:type="spellStart"/>
      <w:r>
        <w:t>Golubovec</w:t>
      </w:r>
      <w:proofErr w:type="spellEnd"/>
      <w:r>
        <w:t>.</w:t>
      </w:r>
    </w:p>
    <w:p w:rsidR="00DD4A1D" w:rsidRDefault="00DD4A1D"/>
    <w:p w:rsidR="00DD4A1D" w:rsidRDefault="003C107F">
      <w:pPr>
        <w:keepNext/>
        <w:spacing w:line="240" w:lineRule="auto"/>
        <w:jc w:val="center"/>
      </w:pPr>
      <w:r>
        <w:rPr>
          <w:sz w:val="28"/>
        </w:rPr>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DD4A1D">
            <w:pPr>
              <w:keepNext/>
              <w:keepLines/>
              <w:spacing w:after="0" w:line="240" w:lineRule="auto"/>
            </w:pPr>
          </w:p>
        </w:tc>
        <w:tc>
          <w:tcPr>
            <w:tcW w:w="3180" w:type="dxa"/>
            <w:tcMar>
              <w:top w:w="0" w:type="dxa"/>
              <w:bottom w:w="0" w:type="dxa"/>
            </w:tcMar>
            <w:vAlign w:val="center"/>
          </w:tcPr>
          <w:p w:rsidR="00DD4A1D" w:rsidRDefault="003C107F">
            <w:pPr>
              <w:keepNext/>
              <w:keepLines/>
              <w:spacing w:after="0" w:line="240" w:lineRule="auto"/>
            </w:pPr>
            <w:r>
              <w:rPr>
                <w:sz w:val="18"/>
              </w:rPr>
              <w:t>UKUPAN MANJAK PRIHODA (šifre Y034-X067)</w:t>
            </w:r>
          </w:p>
        </w:tc>
        <w:tc>
          <w:tcPr>
            <w:tcW w:w="700" w:type="dxa"/>
            <w:tcMar>
              <w:top w:w="0" w:type="dxa"/>
              <w:bottom w:w="0" w:type="dxa"/>
            </w:tcMar>
            <w:vAlign w:val="center"/>
          </w:tcPr>
          <w:p w:rsidR="00DD4A1D" w:rsidRDefault="003C107F">
            <w:pPr>
              <w:keepNext/>
              <w:keepLines/>
              <w:spacing w:after="0" w:line="240" w:lineRule="auto"/>
            </w:pPr>
            <w:r>
              <w:rPr>
                <w:sz w:val="18"/>
              </w:rPr>
              <w:t>Y004</w:t>
            </w:r>
          </w:p>
        </w:tc>
        <w:tc>
          <w:tcPr>
            <w:tcW w:w="1860" w:type="dxa"/>
            <w:tcMar>
              <w:top w:w="0" w:type="dxa"/>
              <w:bottom w:w="0" w:type="dxa"/>
            </w:tcMar>
            <w:vAlign w:val="center"/>
          </w:tcPr>
          <w:p w:rsidR="00DD4A1D" w:rsidRDefault="003C107F">
            <w:pPr>
              <w:keepNext/>
              <w:keepLines/>
              <w:spacing w:after="0" w:line="240" w:lineRule="auto"/>
              <w:jc w:val="right"/>
            </w:pPr>
            <w:r>
              <w:rPr>
                <w:sz w:val="18"/>
              </w:rPr>
              <w:t>389,74</w:t>
            </w:r>
          </w:p>
        </w:tc>
        <w:tc>
          <w:tcPr>
            <w:tcW w:w="1860" w:type="dxa"/>
            <w:tcMar>
              <w:top w:w="0" w:type="dxa"/>
              <w:bottom w:w="0" w:type="dxa"/>
            </w:tcMar>
            <w:vAlign w:val="center"/>
          </w:tcPr>
          <w:p w:rsidR="00DD4A1D" w:rsidRDefault="003C107F">
            <w:pPr>
              <w:keepNext/>
              <w:keepLines/>
              <w:spacing w:after="0" w:line="240" w:lineRule="auto"/>
              <w:jc w:val="right"/>
            </w:pPr>
            <w:r>
              <w:rPr>
                <w:sz w:val="18"/>
              </w:rPr>
              <w:t>102.790,35</w:t>
            </w:r>
          </w:p>
        </w:tc>
        <w:tc>
          <w:tcPr>
            <w:tcW w:w="700" w:type="dxa"/>
            <w:tcMar>
              <w:top w:w="0" w:type="dxa"/>
              <w:bottom w:w="0" w:type="dxa"/>
            </w:tcMar>
            <w:vAlign w:val="center"/>
          </w:tcPr>
          <w:p w:rsidR="00DD4A1D" w:rsidRDefault="003C107F">
            <w:pPr>
              <w:keepNext/>
              <w:keepLines/>
              <w:spacing w:after="0" w:line="240" w:lineRule="auto"/>
              <w:jc w:val="right"/>
            </w:pPr>
            <w:r>
              <w:rPr>
                <w:sz w:val="18"/>
              </w:rPr>
              <w:t>&gt;&gt;100</w:t>
            </w:r>
          </w:p>
        </w:tc>
      </w:tr>
    </w:tbl>
    <w:p w:rsidR="00DD4A1D" w:rsidRDefault="00DD4A1D">
      <w:pPr>
        <w:spacing w:after="0"/>
      </w:pPr>
    </w:p>
    <w:p w:rsidR="00DD4A1D" w:rsidRDefault="003C107F">
      <w:pPr>
        <w:spacing w:line="240" w:lineRule="auto"/>
        <w:jc w:val="both"/>
      </w:pPr>
      <w:r>
        <w:t>Prema naprijed navedenim promjenama oko knjiženja plaće i rashoda koji su klasificirani kao kontinuirani, a odnose se na navedeno razdoblje, ostvaren je ovaj manjak prihoda i primitaka.</w:t>
      </w:r>
    </w:p>
    <w:p w:rsidR="00DD4A1D" w:rsidRDefault="00DD4A1D"/>
    <w:p w:rsidR="00DD4A1D" w:rsidRDefault="003C107F">
      <w:pPr>
        <w:keepNext/>
        <w:spacing w:line="240" w:lineRule="auto"/>
        <w:jc w:val="center"/>
      </w:pPr>
      <w:r>
        <w:rPr>
          <w:sz w:val="28"/>
        </w:rPr>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Opis </w:t>
            </w:r>
            <w:r>
              <w:rPr>
                <w:b/>
                <w:sz w:val="18"/>
              </w:rPr>
              <w:t>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9221x, 9222x</w:t>
            </w:r>
          </w:p>
        </w:tc>
        <w:tc>
          <w:tcPr>
            <w:tcW w:w="3180" w:type="dxa"/>
            <w:tcMar>
              <w:top w:w="0" w:type="dxa"/>
              <w:bottom w:w="0" w:type="dxa"/>
            </w:tcMar>
            <w:vAlign w:val="center"/>
          </w:tcPr>
          <w:p w:rsidR="00DD4A1D" w:rsidRDefault="003C107F">
            <w:pPr>
              <w:keepNext/>
              <w:keepLines/>
              <w:spacing w:after="0" w:line="240" w:lineRule="auto"/>
            </w:pPr>
            <w:r>
              <w:rPr>
                <w:sz w:val="18"/>
              </w:rPr>
              <w:t>Višak prihoda - preneseni (šifre 92211+92212-92221-92222)</w:t>
            </w:r>
          </w:p>
        </w:tc>
        <w:tc>
          <w:tcPr>
            <w:tcW w:w="700" w:type="dxa"/>
            <w:tcMar>
              <w:top w:w="0" w:type="dxa"/>
              <w:bottom w:w="0" w:type="dxa"/>
            </w:tcMar>
            <w:vAlign w:val="center"/>
          </w:tcPr>
          <w:p w:rsidR="00DD4A1D" w:rsidRDefault="003C107F">
            <w:pPr>
              <w:keepNext/>
              <w:keepLines/>
              <w:spacing w:after="0" w:line="240" w:lineRule="auto"/>
            </w:pPr>
            <w:r>
              <w:rPr>
                <w:sz w:val="18"/>
              </w:rPr>
              <w:t>9221x,9222x VP</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705,66</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 xml:space="preserve">Ispravkom UF -509 iz 2024. </w:t>
      </w:r>
      <w:r>
        <w:t>godine izvršen ispravak ukupnog viška za 10,00 eura.</w:t>
      </w:r>
    </w:p>
    <w:p w:rsidR="00DD4A1D" w:rsidRDefault="00DD4A1D"/>
    <w:p w:rsidR="00DD4A1D" w:rsidRDefault="003C107F">
      <w:pPr>
        <w:keepNext/>
        <w:spacing w:line="240" w:lineRule="auto"/>
        <w:jc w:val="center"/>
      </w:pPr>
      <w:r>
        <w:rPr>
          <w:sz w:val="28"/>
        </w:rPr>
        <w:lastRenderedPageBreak/>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DD4A1D">
            <w:pPr>
              <w:keepNext/>
              <w:keepLines/>
              <w:spacing w:after="0" w:line="240" w:lineRule="auto"/>
            </w:pPr>
          </w:p>
        </w:tc>
        <w:tc>
          <w:tcPr>
            <w:tcW w:w="3180" w:type="dxa"/>
            <w:tcMar>
              <w:top w:w="0" w:type="dxa"/>
              <w:bottom w:w="0" w:type="dxa"/>
            </w:tcMar>
            <w:vAlign w:val="center"/>
          </w:tcPr>
          <w:p w:rsidR="00DD4A1D" w:rsidRDefault="003C107F">
            <w:pPr>
              <w:keepNext/>
              <w:keepLines/>
              <w:spacing w:after="0" w:line="240" w:lineRule="auto"/>
            </w:pPr>
            <w:r>
              <w:rPr>
                <w:sz w:val="18"/>
              </w:rPr>
              <w:t>Manjak prihoda i primitaka za pokriće</w:t>
            </w:r>
            <w:r>
              <w:rPr>
                <w:sz w:val="18"/>
              </w:rPr>
              <w:t xml:space="preserve"> u sljedećem razdoblju (šifre Y005 + '9222-9221' - X005 - '9221-9222' )</w:t>
            </w:r>
          </w:p>
        </w:tc>
        <w:tc>
          <w:tcPr>
            <w:tcW w:w="700" w:type="dxa"/>
            <w:tcMar>
              <w:top w:w="0" w:type="dxa"/>
              <w:bottom w:w="0" w:type="dxa"/>
            </w:tcMar>
            <w:vAlign w:val="center"/>
          </w:tcPr>
          <w:p w:rsidR="00DD4A1D" w:rsidRDefault="003C107F">
            <w:pPr>
              <w:keepNext/>
              <w:keepLines/>
              <w:spacing w:after="0" w:line="240" w:lineRule="auto"/>
            </w:pPr>
            <w:r>
              <w:rPr>
                <w:sz w:val="18"/>
              </w:rPr>
              <w:t>Y006</w:t>
            </w:r>
          </w:p>
        </w:tc>
        <w:tc>
          <w:tcPr>
            <w:tcW w:w="1860" w:type="dxa"/>
            <w:tcMar>
              <w:top w:w="0" w:type="dxa"/>
              <w:bottom w:w="0" w:type="dxa"/>
            </w:tcMar>
            <w:vAlign w:val="center"/>
          </w:tcPr>
          <w:p w:rsidR="00DD4A1D" w:rsidRDefault="003C107F">
            <w:pPr>
              <w:keepNext/>
              <w:keepLines/>
              <w:spacing w:after="0" w:line="240" w:lineRule="auto"/>
              <w:jc w:val="right"/>
            </w:pPr>
            <w:r>
              <w:rPr>
                <w:sz w:val="18"/>
              </w:rPr>
              <w:t>1.921,30</w:t>
            </w:r>
          </w:p>
        </w:tc>
        <w:tc>
          <w:tcPr>
            <w:tcW w:w="1860" w:type="dxa"/>
            <w:tcMar>
              <w:top w:w="0" w:type="dxa"/>
              <w:bottom w:w="0" w:type="dxa"/>
            </w:tcMar>
            <w:vAlign w:val="center"/>
          </w:tcPr>
          <w:p w:rsidR="00DD4A1D" w:rsidRDefault="003C107F">
            <w:pPr>
              <w:keepNext/>
              <w:keepLines/>
              <w:spacing w:after="0" w:line="240" w:lineRule="auto"/>
              <w:jc w:val="right"/>
            </w:pPr>
            <w:r>
              <w:rPr>
                <w:sz w:val="18"/>
              </w:rPr>
              <w:t>102.084,69</w:t>
            </w:r>
          </w:p>
        </w:tc>
        <w:tc>
          <w:tcPr>
            <w:tcW w:w="700" w:type="dxa"/>
            <w:tcMar>
              <w:top w:w="0" w:type="dxa"/>
              <w:bottom w:w="0" w:type="dxa"/>
            </w:tcMar>
            <w:vAlign w:val="center"/>
          </w:tcPr>
          <w:p w:rsidR="00DD4A1D" w:rsidRDefault="003C107F">
            <w:pPr>
              <w:keepNext/>
              <w:keepLines/>
              <w:spacing w:after="0" w:line="240" w:lineRule="auto"/>
              <w:jc w:val="right"/>
            </w:pPr>
            <w:r>
              <w:rPr>
                <w:sz w:val="18"/>
              </w:rPr>
              <w:t>5313,3</w:t>
            </w:r>
          </w:p>
        </w:tc>
      </w:tr>
    </w:tbl>
    <w:p w:rsidR="00DD4A1D" w:rsidRDefault="00DD4A1D">
      <w:pPr>
        <w:spacing w:after="0"/>
      </w:pPr>
    </w:p>
    <w:p w:rsidR="00DD4A1D" w:rsidRDefault="003C107F">
      <w:pPr>
        <w:spacing w:line="240" w:lineRule="auto"/>
        <w:jc w:val="both"/>
      </w:pPr>
      <w:r>
        <w:t xml:space="preserve">Ukupni manjak prihoda i primitaka  koji je ostvaren u ovom izvještajnom razdoblju -nastao je zbog promjena u knjiženju 7. plaće i rashoda koji su </w:t>
      </w:r>
      <w:r>
        <w:t>klasificirani kao kontinuirani, a odnose se na navedeno razdoblje.</w:t>
      </w:r>
    </w:p>
    <w:p w:rsidR="00DD4A1D" w:rsidRDefault="00DD4A1D"/>
    <w:p w:rsidR="00DD4A1D" w:rsidRDefault="003C107F">
      <w:pPr>
        <w:keepNext/>
        <w:spacing w:line="240" w:lineRule="auto"/>
        <w:jc w:val="center"/>
      </w:pPr>
      <w:r>
        <w:rPr>
          <w:sz w:val="28"/>
        </w:rPr>
        <w:t>Bilješka 42.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63613</w:t>
            </w:r>
          </w:p>
        </w:tc>
        <w:tc>
          <w:tcPr>
            <w:tcW w:w="3180" w:type="dxa"/>
            <w:tcMar>
              <w:top w:w="0" w:type="dxa"/>
              <w:bottom w:w="0" w:type="dxa"/>
            </w:tcMar>
            <w:vAlign w:val="center"/>
          </w:tcPr>
          <w:p w:rsidR="00DD4A1D" w:rsidRDefault="003C107F">
            <w:pPr>
              <w:keepNext/>
              <w:keepLines/>
              <w:spacing w:after="0" w:line="240" w:lineRule="auto"/>
            </w:pPr>
            <w:r>
              <w:rPr>
                <w:sz w:val="18"/>
              </w:rPr>
              <w:t xml:space="preserve">Tekuće pomoći </w:t>
            </w:r>
            <w:r>
              <w:rPr>
                <w:sz w:val="18"/>
              </w:rPr>
              <w:t>proračunskim korisnicima iz proračuna JLP(R)S koji im nije nadležan</w:t>
            </w:r>
          </w:p>
        </w:tc>
        <w:tc>
          <w:tcPr>
            <w:tcW w:w="700" w:type="dxa"/>
            <w:tcMar>
              <w:top w:w="0" w:type="dxa"/>
              <w:bottom w:w="0" w:type="dxa"/>
            </w:tcMar>
            <w:vAlign w:val="center"/>
          </w:tcPr>
          <w:p w:rsidR="00DD4A1D" w:rsidRDefault="003C107F">
            <w:pPr>
              <w:keepNext/>
              <w:keepLines/>
              <w:spacing w:after="0" w:line="240" w:lineRule="auto"/>
            </w:pPr>
            <w:r>
              <w:rPr>
                <w:sz w:val="18"/>
              </w:rPr>
              <w:t>63613</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6.609,95</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Tekuće pomoći za financiranje plaće i naknada  pomoćnika u nastavi ,obuka neplivača ,nabava sitnog inventara.</w:t>
      </w:r>
    </w:p>
    <w:p w:rsidR="00DD4A1D" w:rsidRDefault="00DD4A1D"/>
    <w:p w:rsidR="00DD4A1D" w:rsidRDefault="003C107F">
      <w:pPr>
        <w:keepNext/>
        <w:spacing w:line="240" w:lineRule="auto"/>
        <w:jc w:val="center"/>
      </w:pPr>
      <w:r>
        <w:rPr>
          <w:sz w:val="28"/>
        </w:rPr>
        <w:t>Bilješka 43.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63623</w:t>
            </w:r>
          </w:p>
        </w:tc>
        <w:tc>
          <w:tcPr>
            <w:tcW w:w="3180" w:type="dxa"/>
            <w:tcMar>
              <w:top w:w="0" w:type="dxa"/>
              <w:bottom w:w="0" w:type="dxa"/>
            </w:tcMar>
            <w:vAlign w:val="center"/>
          </w:tcPr>
          <w:p w:rsidR="00DD4A1D" w:rsidRDefault="003C107F">
            <w:pPr>
              <w:keepNext/>
              <w:keepLines/>
              <w:spacing w:after="0" w:line="240" w:lineRule="auto"/>
            </w:pPr>
            <w:r>
              <w:rPr>
                <w:sz w:val="18"/>
              </w:rPr>
              <w:t>Kapitalne pomoći proračunskim korisnicima iz proračuna JLP(R)S koji im nije nadležan</w:t>
            </w:r>
          </w:p>
        </w:tc>
        <w:tc>
          <w:tcPr>
            <w:tcW w:w="700" w:type="dxa"/>
            <w:tcMar>
              <w:top w:w="0" w:type="dxa"/>
              <w:bottom w:w="0" w:type="dxa"/>
            </w:tcMar>
            <w:vAlign w:val="center"/>
          </w:tcPr>
          <w:p w:rsidR="00DD4A1D" w:rsidRDefault="003C107F">
            <w:pPr>
              <w:keepNext/>
              <w:keepLines/>
              <w:spacing w:after="0" w:line="240" w:lineRule="auto"/>
            </w:pPr>
            <w:r>
              <w:rPr>
                <w:sz w:val="18"/>
              </w:rPr>
              <w:t>63623</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1.091,25</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 xml:space="preserve">Kapitalne pomoći za nabavu </w:t>
      </w:r>
      <w:r>
        <w:t>nefinancijske imovine.</w:t>
      </w:r>
    </w:p>
    <w:p w:rsidR="00DD4A1D" w:rsidRDefault="00DD4A1D"/>
    <w:p w:rsidR="00DD4A1D" w:rsidRDefault="003C107F">
      <w:pPr>
        <w:keepNext/>
        <w:spacing w:line="240" w:lineRule="auto"/>
        <w:jc w:val="center"/>
      </w:pPr>
      <w:r>
        <w:rPr>
          <w:sz w:val="28"/>
        </w:rPr>
        <w:t>Bilješka 44.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31215</w:t>
            </w:r>
          </w:p>
        </w:tc>
        <w:tc>
          <w:tcPr>
            <w:tcW w:w="3180" w:type="dxa"/>
            <w:tcMar>
              <w:top w:w="0" w:type="dxa"/>
              <w:bottom w:w="0" w:type="dxa"/>
            </w:tcMar>
            <w:vAlign w:val="center"/>
          </w:tcPr>
          <w:p w:rsidR="00DD4A1D" w:rsidRDefault="003C107F">
            <w:pPr>
              <w:keepNext/>
              <w:keepLines/>
              <w:spacing w:after="0" w:line="240" w:lineRule="auto"/>
            </w:pPr>
            <w:r>
              <w:rPr>
                <w:sz w:val="18"/>
              </w:rPr>
              <w:t>Naknade za bolest, invalidnost i smrtni slučaj</w:t>
            </w:r>
          </w:p>
        </w:tc>
        <w:tc>
          <w:tcPr>
            <w:tcW w:w="700" w:type="dxa"/>
            <w:tcMar>
              <w:top w:w="0" w:type="dxa"/>
              <w:bottom w:w="0" w:type="dxa"/>
            </w:tcMar>
            <w:vAlign w:val="center"/>
          </w:tcPr>
          <w:p w:rsidR="00DD4A1D" w:rsidRDefault="003C107F">
            <w:pPr>
              <w:keepNext/>
              <w:keepLines/>
              <w:spacing w:after="0" w:line="240" w:lineRule="auto"/>
            </w:pPr>
            <w:r>
              <w:rPr>
                <w:sz w:val="18"/>
              </w:rPr>
              <w:t>31215</w:t>
            </w:r>
          </w:p>
        </w:tc>
        <w:tc>
          <w:tcPr>
            <w:tcW w:w="1860" w:type="dxa"/>
            <w:tcMar>
              <w:top w:w="0" w:type="dxa"/>
              <w:bottom w:w="0" w:type="dxa"/>
            </w:tcMar>
            <w:vAlign w:val="center"/>
          </w:tcPr>
          <w:p w:rsidR="00DD4A1D" w:rsidRDefault="003C107F">
            <w:pPr>
              <w:keepNext/>
              <w:keepLines/>
              <w:spacing w:after="0" w:line="240" w:lineRule="auto"/>
              <w:jc w:val="right"/>
            </w:pPr>
            <w:r>
              <w:rPr>
                <w:sz w:val="18"/>
              </w:rPr>
              <w:t>491,46</w:t>
            </w:r>
          </w:p>
        </w:tc>
        <w:tc>
          <w:tcPr>
            <w:tcW w:w="1860" w:type="dxa"/>
            <w:tcMar>
              <w:top w:w="0" w:type="dxa"/>
              <w:bottom w:w="0" w:type="dxa"/>
            </w:tcMar>
            <w:vAlign w:val="center"/>
          </w:tcPr>
          <w:p w:rsidR="00DD4A1D" w:rsidRDefault="003C107F">
            <w:pPr>
              <w:keepNext/>
              <w:keepLines/>
              <w:spacing w:after="0" w:line="240" w:lineRule="auto"/>
              <w:jc w:val="right"/>
            </w:pPr>
            <w:r>
              <w:rPr>
                <w:sz w:val="18"/>
              </w:rPr>
              <w:t>1.997,81</w:t>
            </w:r>
          </w:p>
        </w:tc>
        <w:tc>
          <w:tcPr>
            <w:tcW w:w="700" w:type="dxa"/>
            <w:tcMar>
              <w:top w:w="0" w:type="dxa"/>
              <w:bottom w:w="0" w:type="dxa"/>
            </w:tcMar>
            <w:vAlign w:val="center"/>
          </w:tcPr>
          <w:p w:rsidR="00DD4A1D" w:rsidRDefault="003C107F">
            <w:pPr>
              <w:keepNext/>
              <w:keepLines/>
              <w:spacing w:after="0" w:line="240" w:lineRule="auto"/>
              <w:jc w:val="right"/>
            </w:pPr>
            <w:r>
              <w:rPr>
                <w:sz w:val="18"/>
              </w:rPr>
              <w:t>406,5</w:t>
            </w:r>
          </w:p>
        </w:tc>
      </w:tr>
    </w:tbl>
    <w:p w:rsidR="00DD4A1D" w:rsidRDefault="00DD4A1D">
      <w:pPr>
        <w:spacing w:after="0"/>
      </w:pPr>
    </w:p>
    <w:p w:rsidR="00DD4A1D" w:rsidRDefault="003C107F">
      <w:pPr>
        <w:spacing w:line="240" w:lineRule="auto"/>
        <w:jc w:val="both"/>
      </w:pPr>
      <w:r>
        <w:t>Povećanje broja naknada za pomoć u slučaju smrti člana uže obitelji i bolovanja dužeg od 90 dana.</w:t>
      </w:r>
    </w:p>
    <w:p w:rsidR="00DD4A1D" w:rsidRDefault="00DD4A1D"/>
    <w:p w:rsidR="00DD4A1D" w:rsidRDefault="003C107F">
      <w:pPr>
        <w:keepNext/>
        <w:spacing w:line="240" w:lineRule="auto"/>
        <w:jc w:val="center"/>
      </w:pPr>
      <w:r>
        <w:rPr>
          <w:sz w:val="28"/>
        </w:rPr>
        <w:lastRenderedPageBreak/>
        <w:t>Bilješka 45.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Ostvareno u izvještajnom razdoblju </w:t>
            </w:r>
            <w:r>
              <w:rPr>
                <w:b/>
                <w:sz w:val="18"/>
              </w:rPr>
              <w:t>tekuće godine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32361</w:t>
            </w:r>
          </w:p>
        </w:tc>
        <w:tc>
          <w:tcPr>
            <w:tcW w:w="3180" w:type="dxa"/>
            <w:tcMar>
              <w:top w:w="0" w:type="dxa"/>
              <w:bottom w:w="0" w:type="dxa"/>
            </w:tcMar>
            <w:vAlign w:val="center"/>
          </w:tcPr>
          <w:p w:rsidR="00DD4A1D" w:rsidRDefault="003C107F">
            <w:pPr>
              <w:keepNext/>
              <w:keepLines/>
              <w:spacing w:after="0" w:line="240" w:lineRule="auto"/>
            </w:pPr>
            <w:r>
              <w:rPr>
                <w:sz w:val="18"/>
              </w:rPr>
              <w:t>Obvezni i preventivni zdravstveni pregledi zaposlenika</w:t>
            </w:r>
          </w:p>
        </w:tc>
        <w:tc>
          <w:tcPr>
            <w:tcW w:w="700" w:type="dxa"/>
            <w:tcMar>
              <w:top w:w="0" w:type="dxa"/>
              <w:bottom w:w="0" w:type="dxa"/>
            </w:tcMar>
            <w:vAlign w:val="center"/>
          </w:tcPr>
          <w:p w:rsidR="00DD4A1D" w:rsidRDefault="003C107F">
            <w:pPr>
              <w:keepNext/>
              <w:keepLines/>
              <w:spacing w:after="0" w:line="240" w:lineRule="auto"/>
            </w:pPr>
            <w:r>
              <w:rPr>
                <w:sz w:val="18"/>
              </w:rPr>
              <w:t>32361</w:t>
            </w:r>
          </w:p>
        </w:tc>
        <w:tc>
          <w:tcPr>
            <w:tcW w:w="1860" w:type="dxa"/>
            <w:tcMar>
              <w:top w:w="0" w:type="dxa"/>
              <w:bottom w:w="0" w:type="dxa"/>
            </w:tcMar>
            <w:vAlign w:val="center"/>
          </w:tcPr>
          <w:p w:rsidR="00DD4A1D" w:rsidRDefault="003C107F">
            <w:pPr>
              <w:keepNext/>
              <w:keepLines/>
              <w:spacing w:after="0" w:line="240" w:lineRule="auto"/>
              <w:jc w:val="right"/>
            </w:pPr>
            <w:r>
              <w:rPr>
                <w:sz w:val="18"/>
              </w:rPr>
              <w:t>0,00</w:t>
            </w:r>
          </w:p>
        </w:tc>
        <w:tc>
          <w:tcPr>
            <w:tcW w:w="1860" w:type="dxa"/>
            <w:tcMar>
              <w:top w:w="0" w:type="dxa"/>
              <w:bottom w:w="0" w:type="dxa"/>
            </w:tcMar>
            <w:vAlign w:val="center"/>
          </w:tcPr>
          <w:p w:rsidR="00DD4A1D" w:rsidRDefault="003C107F">
            <w:pPr>
              <w:keepNext/>
              <w:keepLines/>
              <w:spacing w:after="0" w:line="240" w:lineRule="auto"/>
              <w:jc w:val="right"/>
            </w:pPr>
            <w:r>
              <w:rPr>
                <w:sz w:val="18"/>
              </w:rPr>
              <w:t>1.795,90</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U prethodnoj godini nije bilo sistematskih pregleda djelatnika. Ove godine je 11 djelatnika obavilo sistematski pregled.</w:t>
      </w:r>
    </w:p>
    <w:p w:rsidR="00DD4A1D" w:rsidRDefault="00DD4A1D"/>
    <w:p w:rsidR="00DD4A1D" w:rsidRDefault="003C107F">
      <w:pPr>
        <w:keepNext/>
        <w:spacing w:line="240" w:lineRule="auto"/>
        <w:jc w:val="center"/>
      </w:pPr>
      <w:r>
        <w:rPr>
          <w:b/>
          <w:sz w:val="28"/>
        </w:rPr>
        <w:t>Izvještaj o obvezama</w:t>
      </w:r>
    </w:p>
    <w:p w:rsidR="00DD4A1D" w:rsidRDefault="003C107F">
      <w:pPr>
        <w:keepNext/>
        <w:spacing w:line="240" w:lineRule="auto"/>
        <w:jc w:val="center"/>
      </w:pPr>
      <w:r>
        <w:rPr>
          <w:sz w:val="28"/>
        </w:rPr>
        <w:t>Bilješka 46.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DD4A1D">
            <w:pPr>
              <w:keepNext/>
              <w:keepLines/>
              <w:spacing w:after="0" w:line="240" w:lineRule="auto"/>
            </w:pPr>
          </w:p>
        </w:tc>
        <w:tc>
          <w:tcPr>
            <w:tcW w:w="3180" w:type="dxa"/>
            <w:tcMar>
              <w:top w:w="0" w:type="dxa"/>
              <w:bottom w:w="0" w:type="dxa"/>
            </w:tcMar>
            <w:vAlign w:val="center"/>
          </w:tcPr>
          <w:p w:rsidR="00DD4A1D" w:rsidRDefault="003C107F">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rsidR="00DD4A1D" w:rsidRDefault="003C107F">
            <w:pPr>
              <w:keepNext/>
              <w:keepLines/>
              <w:spacing w:after="0" w:line="240" w:lineRule="auto"/>
            </w:pPr>
            <w:r>
              <w:rPr>
                <w:sz w:val="18"/>
              </w:rPr>
              <w:t>V006</w:t>
            </w:r>
          </w:p>
        </w:tc>
        <w:tc>
          <w:tcPr>
            <w:tcW w:w="1860" w:type="dxa"/>
            <w:tcMar>
              <w:top w:w="0" w:type="dxa"/>
              <w:bottom w:w="0" w:type="dxa"/>
            </w:tcMar>
            <w:vAlign w:val="center"/>
          </w:tcPr>
          <w:p w:rsidR="00DD4A1D" w:rsidRDefault="003C107F">
            <w:pPr>
              <w:keepNext/>
              <w:keepLines/>
              <w:spacing w:after="0" w:line="240" w:lineRule="auto"/>
              <w:jc w:val="right"/>
            </w:pPr>
            <w:r>
              <w:rPr>
                <w:sz w:val="18"/>
              </w:rPr>
              <w:t>106.683,17</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Ukupne  obveze nakraju  izvještajnog  razdoblja iznose 106.683,17 eura.</w:t>
      </w:r>
    </w:p>
    <w:p w:rsidR="00DD4A1D" w:rsidRDefault="00DD4A1D"/>
    <w:p w:rsidR="00DD4A1D" w:rsidRDefault="003C107F">
      <w:pPr>
        <w:keepNext/>
        <w:spacing w:line="240" w:lineRule="auto"/>
        <w:jc w:val="center"/>
      </w:pPr>
      <w:r>
        <w:rPr>
          <w:sz w:val="28"/>
        </w:rPr>
        <w:t>Bilješka 47.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DD4A1D">
            <w:pPr>
              <w:keepNext/>
              <w:keepLines/>
              <w:spacing w:after="0" w:line="240" w:lineRule="auto"/>
            </w:pPr>
          </w:p>
        </w:tc>
        <w:tc>
          <w:tcPr>
            <w:tcW w:w="3180" w:type="dxa"/>
            <w:tcMar>
              <w:top w:w="0" w:type="dxa"/>
              <w:bottom w:w="0" w:type="dxa"/>
            </w:tcMar>
            <w:vAlign w:val="center"/>
          </w:tcPr>
          <w:p w:rsidR="00DD4A1D" w:rsidRDefault="003C107F">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DD4A1D" w:rsidRDefault="003C107F">
            <w:pPr>
              <w:keepNext/>
              <w:keepLines/>
              <w:spacing w:after="0" w:line="240" w:lineRule="auto"/>
            </w:pPr>
            <w:r>
              <w:rPr>
                <w:sz w:val="18"/>
              </w:rPr>
              <w:t>V007</w:t>
            </w:r>
          </w:p>
        </w:tc>
        <w:tc>
          <w:tcPr>
            <w:tcW w:w="1860" w:type="dxa"/>
            <w:tcMar>
              <w:top w:w="0" w:type="dxa"/>
              <w:bottom w:w="0" w:type="dxa"/>
            </w:tcMar>
            <w:vAlign w:val="center"/>
          </w:tcPr>
          <w:p w:rsidR="00DD4A1D" w:rsidRDefault="003C107F">
            <w:pPr>
              <w:keepNext/>
              <w:keepLines/>
              <w:spacing w:after="0" w:line="240" w:lineRule="auto"/>
              <w:jc w:val="right"/>
            </w:pPr>
            <w:r>
              <w:rPr>
                <w:sz w:val="18"/>
              </w:rPr>
              <w:t>2.892,88</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 xml:space="preserve">Stanje dospjelih obveza na kraju izvještajnog razdoblja iznosi </w:t>
      </w:r>
      <w:r>
        <w:t>2.892,88 eura, a odnosi se na dio  obveza  za podmirenje troškova besplatne školske prehrane  za svibanj,  jer su sredstva za podmirenje istih doznačena 04.07.2025. godine.</w:t>
      </w:r>
    </w:p>
    <w:p w:rsidR="00DD4A1D" w:rsidRDefault="00DD4A1D"/>
    <w:p w:rsidR="00DD4A1D" w:rsidRDefault="003C107F">
      <w:pPr>
        <w:keepNext/>
        <w:spacing w:line="240" w:lineRule="auto"/>
        <w:jc w:val="center"/>
      </w:pPr>
      <w:r>
        <w:rPr>
          <w:sz w:val="28"/>
        </w:rPr>
        <w:t>Bilješka 48.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DD4A1D">
        <w:tblPrEx>
          <w:tblCellMar>
            <w:top w:w="0" w:type="dxa"/>
            <w:bottom w:w="0" w:type="dxa"/>
          </w:tblCellMar>
        </w:tblPrEx>
        <w:trPr>
          <w:cantSplit/>
        </w:trPr>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DD4A1D" w:rsidRDefault="003C107F">
            <w:pPr>
              <w:keepNext/>
              <w:keepLines/>
              <w:spacing w:after="0" w:line="240" w:lineRule="auto"/>
              <w:jc w:val="center"/>
            </w:pPr>
            <w:r>
              <w:rPr>
                <w:b/>
                <w:sz w:val="18"/>
              </w:rPr>
              <w:t>Indeks (%)</w:t>
            </w:r>
          </w:p>
        </w:tc>
      </w:tr>
      <w:tr w:rsidR="00DD4A1D">
        <w:tblPrEx>
          <w:tblCellMar>
            <w:top w:w="0" w:type="dxa"/>
            <w:bottom w:w="0" w:type="dxa"/>
          </w:tblCellMar>
        </w:tblPrEx>
        <w:trPr>
          <w:cantSplit/>
          <w:trHeight w:val="560"/>
        </w:trPr>
        <w:tc>
          <w:tcPr>
            <w:tcW w:w="700" w:type="dxa"/>
            <w:tcMar>
              <w:top w:w="0" w:type="dxa"/>
              <w:bottom w:w="0" w:type="dxa"/>
            </w:tcMar>
            <w:vAlign w:val="center"/>
          </w:tcPr>
          <w:p w:rsidR="00DD4A1D" w:rsidRDefault="003C107F">
            <w:pPr>
              <w:keepNext/>
              <w:keepLines/>
              <w:spacing w:after="0" w:line="240" w:lineRule="auto"/>
            </w:pPr>
            <w:r>
              <w:rPr>
                <w:sz w:val="18"/>
              </w:rPr>
              <w:t>23</w:t>
            </w:r>
          </w:p>
        </w:tc>
        <w:tc>
          <w:tcPr>
            <w:tcW w:w="3180" w:type="dxa"/>
            <w:tcMar>
              <w:top w:w="0" w:type="dxa"/>
              <w:bottom w:w="0" w:type="dxa"/>
            </w:tcMar>
            <w:vAlign w:val="center"/>
          </w:tcPr>
          <w:p w:rsidR="00DD4A1D" w:rsidRDefault="003C107F">
            <w:pPr>
              <w:keepNext/>
              <w:keepLines/>
              <w:spacing w:after="0" w:line="240" w:lineRule="auto"/>
            </w:pPr>
            <w:r>
              <w:rPr>
                <w:sz w:val="18"/>
              </w:rPr>
              <w:t xml:space="preserve">Obveze za </w:t>
            </w:r>
            <w:r>
              <w:rPr>
                <w:sz w:val="18"/>
              </w:rPr>
              <w:t>rashode poslovanja</w:t>
            </w:r>
          </w:p>
        </w:tc>
        <w:tc>
          <w:tcPr>
            <w:tcW w:w="700" w:type="dxa"/>
            <w:tcMar>
              <w:top w:w="0" w:type="dxa"/>
              <w:bottom w:w="0" w:type="dxa"/>
            </w:tcMar>
            <w:vAlign w:val="center"/>
          </w:tcPr>
          <w:p w:rsidR="00DD4A1D" w:rsidRDefault="003C107F">
            <w:pPr>
              <w:keepNext/>
              <w:keepLines/>
              <w:spacing w:after="0" w:line="240" w:lineRule="auto"/>
            </w:pPr>
            <w:r>
              <w:rPr>
                <w:sz w:val="18"/>
              </w:rPr>
              <w:t>ND23</w:t>
            </w:r>
          </w:p>
        </w:tc>
        <w:tc>
          <w:tcPr>
            <w:tcW w:w="1860" w:type="dxa"/>
            <w:tcMar>
              <w:top w:w="0" w:type="dxa"/>
              <w:bottom w:w="0" w:type="dxa"/>
            </w:tcMar>
            <w:vAlign w:val="center"/>
          </w:tcPr>
          <w:p w:rsidR="00DD4A1D" w:rsidRDefault="003C107F">
            <w:pPr>
              <w:keepNext/>
              <w:keepLines/>
              <w:spacing w:after="0" w:line="240" w:lineRule="auto"/>
              <w:jc w:val="right"/>
            </w:pPr>
            <w:r>
              <w:rPr>
                <w:sz w:val="18"/>
              </w:rPr>
              <w:t>100.664,99</w:t>
            </w:r>
          </w:p>
        </w:tc>
        <w:tc>
          <w:tcPr>
            <w:tcW w:w="700" w:type="dxa"/>
            <w:tcMar>
              <w:top w:w="0" w:type="dxa"/>
              <w:bottom w:w="0" w:type="dxa"/>
            </w:tcMar>
            <w:vAlign w:val="center"/>
          </w:tcPr>
          <w:p w:rsidR="00DD4A1D" w:rsidRDefault="003C107F">
            <w:pPr>
              <w:keepNext/>
              <w:keepLines/>
              <w:spacing w:after="0" w:line="240" w:lineRule="auto"/>
              <w:jc w:val="right"/>
            </w:pPr>
            <w:r>
              <w:rPr>
                <w:sz w:val="18"/>
              </w:rPr>
              <w:t>-</w:t>
            </w:r>
          </w:p>
        </w:tc>
      </w:tr>
    </w:tbl>
    <w:p w:rsidR="00DD4A1D" w:rsidRDefault="00DD4A1D">
      <w:pPr>
        <w:spacing w:after="0"/>
      </w:pPr>
    </w:p>
    <w:p w:rsidR="00DD4A1D" w:rsidRDefault="003C107F">
      <w:pPr>
        <w:spacing w:line="240" w:lineRule="auto"/>
        <w:jc w:val="both"/>
      </w:pPr>
      <w:r>
        <w:t>Nedospjele obveze za rashode poslovanja odnose se na obveze za zaposlene, te materijalne i financijske rashode za lipanj 2025. godine.</w:t>
      </w:r>
    </w:p>
    <w:p w:rsidR="00DD4A1D" w:rsidRDefault="00DD4A1D"/>
    <w:sectPr w:rsidR="00DD4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D4A1D"/>
    <w:rsid w:val="003C107F"/>
    <w:rsid w:val="00DD4A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BCF7"/>
  <w15:docId w15:val="{DE2F80D7-796B-4C9C-9CB9-57D33C5F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C107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1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3013</Words>
  <Characters>17179</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cp:lastModifiedBy>
  <cp:revision>3</cp:revision>
  <cp:lastPrinted>2025-07-11T08:36:00Z</cp:lastPrinted>
  <dcterms:created xsi:type="dcterms:W3CDTF">2025-07-11T08:36:00Z</dcterms:created>
  <dcterms:modified xsi:type="dcterms:W3CDTF">2025-07-11T08:50:00Z</dcterms:modified>
</cp:coreProperties>
</file>